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3192" w14:textId="77777777" w:rsidR="003620A1" w:rsidRDefault="003620A1">
      <w:bookmarkStart w:id="0" w:name="_GoBack"/>
      <w:bookmarkEnd w:id="0"/>
    </w:p>
    <w:p w14:paraId="0F68B521" w14:textId="77777777" w:rsidR="00EC2378" w:rsidRDefault="00EC2378"/>
    <w:p w14:paraId="293F399D" w14:textId="77777777" w:rsidR="008343A6" w:rsidRDefault="008343A6"/>
    <w:p w14:paraId="71D65D29" w14:textId="77777777" w:rsidR="00EC2378" w:rsidRDefault="00EC2378"/>
    <w:p w14:paraId="754AF32B" w14:textId="77777777" w:rsidR="00F10765" w:rsidRPr="00E22D40" w:rsidRDefault="00F10765" w:rsidP="00F10765">
      <w:pPr>
        <w:rPr>
          <w:lang w:val="es-ES"/>
        </w:rPr>
      </w:pPr>
      <w:r>
        <w:rPr>
          <w:lang w:val="es-ES"/>
        </w:rPr>
        <w:t>14</w:t>
      </w:r>
      <w:r w:rsidRPr="00E22D40">
        <w:rPr>
          <w:lang w:val="es-ES"/>
        </w:rPr>
        <w:t xml:space="preserve"> de </w:t>
      </w:r>
      <w:r>
        <w:rPr>
          <w:lang w:val="es-ES"/>
        </w:rPr>
        <w:t>octubre</w:t>
      </w:r>
      <w:r w:rsidRPr="00E22D40">
        <w:rPr>
          <w:lang w:val="es-ES"/>
        </w:rPr>
        <w:t xml:space="preserve"> de 2016</w:t>
      </w:r>
    </w:p>
    <w:p w14:paraId="0C2E8067" w14:textId="77777777" w:rsidR="00F10765" w:rsidRDefault="00F10765" w:rsidP="00F10765">
      <w:pPr>
        <w:rPr>
          <w:lang w:val="es-ES"/>
        </w:rPr>
      </w:pPr>
    </w:p>
    <w:p w14:paraId="6F00AB82" w14:textId="77777777" w:rsidR="00F10765" w:rsidRPr="00E22D40" w:rsidRDefault="00F10765" w:rsidP="00F10765">
      <w:pPr>
        <w:rPr>
          <w:lang w:val="es-ES"/>
        </w:rPr>
      </w:pPr>
    </w:p>
    <w:p w14:paraId="07C08DFF" w14:textId="77777777" w:rsidR="00F10765" w:rsidRDefault="00F10765" w:rsidP="00F10765">
      <w:pPr>
        <w:rPr>
          <w:lang w:val="es-ES"/>
        </w:rPr>
      </w:pPr>
      <w:r>
        <w:rPr>
          <w:lang w:val="es-ES"/>
        </w:rPr>
        <w:t>Comité de Transición</w:t>
      </w:r>
    </w:p>
    <w:p w14:paraId="7A7D3942" w14:textId="799214E6" w:rsidR="00F10765" w:rsidRPr="00E22D40" w:rsidRDefault="00F10765" w:rsidP="00F10765">
      <w:pPr>
        <w:rPr>
          <w:lang w:val="es-ES"/>
        </w:rPr>
      </w:pPr>
      <w:r>
        <w:rPr>
          <w:lang w:val="es-ES"/>
        </w:rPr>
        <w:t>San Juan, Puerto Rico</w:t>
      </w:r>
      <w:r w:rsidRPr="00E22D40">
        <w:rPr>
          <w:lang w:val="es-ES"/>
        </w:rPr>
        <w:t xml:space="preserve"> </w:t>
      </w:r>
    </w:p>
    <w:p w14:paraId="310A97FC" w14:textId="77777777" w:rsidR="00F10765" w:rsidRDefault="00F10765" w:rsidP="00F10765">
      <w:pPr>
        <w:rPr>
          <w:lang w:val="es-ES"/>
        </w:rPr>
      </w:pPr>
    </w:p>
    <w:p w14:paraId="7438A5BA" w14:textId="77777777" w:rsidR="008343A6" w:rsidRPr="00E22D40" w:rsidRDefault="008343A6" w:rsidP="00F10765">
      <w:pPr>
        <w:rPr>
          <w:lang w:val="es-ES"/>
        </w:rPr>
      </w:pPr>
    </w:p>
    <w:p w14:paraId="7E755910" w14:textId="77777777" w:rsidR="00F10765" w:rsidRPr="00E22D40" w:rsidRDefault="00F10765" w:rsidP="00F10765">
      <w:pPr>
        <w:rPr>
          <w:lang w:val="es-ES"/>
        </w:rPr>
      </w:pPr>
      <w:r w:rsidRPr="00E22D40">
        <w:rPr>
          <w:lang w:val="es-ES"/>
        </w:rPr>
        <w:t xml:space="preserve">Estimados </w:t>
      </w:r>
      <w:r>
        <w:rPr>
          <w:lang w:val="es-ES"/>
        </w:rPr>
        <w:t>miembros del Comité de Transición:</w:t>
      </w:r>
      <w:r w:rsidRPr="00E22D40">
        <w:rPr>
          <w:lang w:val="es-ES"/>
        </w:rPr>
        <w:t xml:space="preserve"> </w:t>
      </w:r>
    </w:p>
    <w:p w14:paraId="76E6B5B1" w14:textId="77777777" w:rsidR="00F10765" w:rsidRPr="00E22D40" w:rsidRDefault="00F10765" w:rsidP="00F10765">
      <w:pPr>
        <w:rPr>
          <w:lang w:val="es-ES"/>
        </w:rPr>
      </w:pPr>
    </w:p>
    <w:p w14:paraId="0BD54350" w14:textId="77777777" w:rsidR="00F10765" w:rsidRPr="00E22D40" w:rsidRDefault="00F10765" w:rsidP="00F10765">
      <w:pPr>
        <w:jc w:val="both"/>
        <w:rPr>
          <w:lang w:val="es-ES"/>
        </w:rPr>
      </w:pPr>
      <w:r>
        <w:rPr>
          <w:lang w:val="es-ES"/>
        </w:rPr>
        <w:t xml:space="preserve">Comparece ante ustedes el licenciado Agustín F. </w:t>
      </w:r>
      <w:proofErr w:type="spellStart"/>
      <w:r>
        <w:rPr>
          <w:lang w:val="es-ES"/>
        </w:rPr>
        <w:t>Carbó</w:t>
      </w:r>
      <w:proofErr w:type="spellEnd"/>
      <w:r>
        <w:rPr>
          <w:lang w:val="es-ES"/>
        </w:rPr>
        <w:t xml:space="preserve"> Lugo, Presidente de la Comisión de Energía de Puerto Rico (en adelante, “CEPR” o “Comisión”)</w:t>
      </w:r>
      <w:r w:rsidRPr="00E22D40">
        <w:rPr>
          <w:lang w:val="es-ES"/>
        </w:rPr>
        <w:t>.</w:t>
      </w:r>
      <w:r>
        <w:rPr>
          <w:lang w:val="es-ES"/>
        </w:rPr>
        <w:t xml:space="preserve"> </w:t>
      </w:r>
      <w:r w:rsidRPr="00CA71E7">
        <w:rPr>
          <w:rFonts w:ascii="Cambria" w:hAnsi="Cambria" w:cs="Arial"/>
          <w:lang w:val="es-ES"/>
        </w:rPr>
        <w:t xml:space="preserve">De acuerdo a lo establecido en la Ley Número 197 de 2002, según enmendada, conocida como la </w:t>
      </w:r>
      <w:r w:rsidRPr="00BE32DE">
        <w:rPr>
          <w:rFonts w:ascii="Cambria" w:hAnsi="Cambria" w:cs="Arial"/>
          <w:lang w:val="es-ES"/>
        </w:rPr>
        <w:t>Ley para Regular el Proceso de Transición del Gobierno de Puerto Rico</w:t>
      </w:r>
      <w:r w:rsidRPr="00CA71E7">
        <w:rPr>
          <w:rFonts w:ascii="Cambria" w:hAnsi="Cambria" w:cs="Arial"/>
          <w:lang w:val="es-ES"/>
        </w:rPr>
        <w:t xml:space="preserve">, la CEPR preparó el Informe de Transición según requerido y el mismo fue presentado ante el Departamento de Estado antes del 31 de octubre de 2016. </w:t>
      </w:r>
      <w:r w:rsidRPr="00E22D40">
        <w:rPr>
          <w:lang w:val="es-ES"/>
        </w:rPr>
        <w:t xml:space="preserve"> </w:t>
      </w:r>
    </w:p>
    <w:p w14:paraId="0F83F8DB" w14:textId="77777777" w:rsidR="00F10765" w:rsidRPr="00880A05" w:rsidRDefault="00F10765" w:rsidP="00D24B59">
      <w:pPr>
        <w:pStyle w:val="Heading1"/>
        <w:spacing w:before="240"/>
        <w:ind w:left="283" w:hanging="181"/>
      </w:pPr>
      <w:bookmarkStart w:id="1" w:name="_Toc444174846"/>
      <w:bookmarkStart w:id="2" w:name="_Toc444616941"/>
      <w:r w:rsidRPr="00880A05">
        <w:t>INTRODUCCIÓN</w:t>
      </w:r>
      <w:bookmarkEnd w:id="1"/>
      <w:bookmarkEnd w:id="2"/>
    </w:p>
    <w:p w14:paraId="54EEA427" w14:textId="77777777" w:rsidR="00F10765" w:rsidRPr="00E22D40" w:rsidRDefault="00F10765" w:rsidP="00F10765">
      <w:pPr>
        <w:jc w:val="both"/>
        <w:rPr>
          <w:lang w:val="es-ES"/>
        </w:rPr>
      </w:pPr>
    </w:p>
    <w:p w14:paraId="621C47A7" w14:textId="77777777" w:rsidR="00F10765" w:rsidRPr="00E22D40" w:rsidRDefault="00F10765" w:rsidP="00F10765">
      <w:pPr>
        <w:jc w:val="both"/>
        <w:rPr>
          <w:lang w:val="es-ES"/>
        </w:rPr>
      </w:pPr>
      <w:r w:rsidRPr="00E22D40">
        <w:rPr>
          <w:lang w:val="es-ES"/>
        </w:rPr>
        <w:t xml:space="preserve">La Comisión es un ente independiente y especializado creado el 27 de mayo de 2014 en virtud de la Ley 57-2014, según enmendada, encargada de reglamentar, supervisar y hacer cumplir la política pública energética del Estado Libre Asociado de Puerto Rico. La misión de la Comisión es lograr un sistema eléctrico confiable, eficiente y transparente, que provea servicio eléctrico a precios justos y razonables. </w:t>
      </w:r>
      <w:r w:rsidRPr="00E22D40">
        <w:rPr>
          <w:rFonts w:eastAsia="Times New Roman" w:cs="Tahoma"/>
          <w:color w:val="222222"/>
          <w:lang w:val="es-ES"/>
        </w:rPr>
        <w:t xml:space="preserve">Para lograr su cometido, la Asamblea Legislativa delegó a la Comisión amplios poderes y deberes. </w:t>
      </w:r>
      <w:r w:rsidRPr="00E22D40">
        <w:rPr>
          <w:lang w:val="es-ES"/>
        </w:rPr>
        <w:t>La Comisión es la entidad encargada de regular la industria eléctrica en Puerto Rico; de adoptar los estándares para que la generación de energía eléctrica en el país sea altamente eficiente; de evaluar, aprobar y vigilar por el cumplimiento de los planes que presenten la Autoridad de Energía Eléctrica de Puerto Rico (</w:t>
      </w:r>
      <w:r>
        <w:rPr>
          <w:lang w:val="es-ES"/>
        </w:rPr>
        <w:t>“</w:t>
      </w:r>
      <w:r w:rsidRPr="00E22D40">
        <w:rPr>
          <w:lang w:val="es-ES"/>
        </w:rPr>
        <w:t>AEE</w:t>
      </w:r>
      <w:r>
        <w:rPr>
          <w:lang w:val="es-ES"/>
        </w:rPr>
        <w:t>”</w:t>
      </w:r>
      <w:r w:rsidRPr="00E22D40">
        <w:rPr>
          <w:lang w:val="es-ES"/>
        </w:rPr>
        <w:t xml:space="preserve">) y otras compañías de servicio eléctrico para asegurar el desarrollo ordenado de nuestro sistema eléctrico; y de revisar y aprobar las tarifas de servicio eléctrico que proponga la AEE y los cargos que propongan imponer las demás compañías de servicio eléctrico que presten servicios en el Estado Libre Asociado de Puerto Rico. </w:t>
      </w:r>
    </w:p>
    <w:p w14:paraId="71F5C98D" w14:textId="77777777" w:rsidR="00F10765" w:rsidRPr="00E22D40" w:rsidRDefault="00F10765" w:rsidP="00F10765">
      <w:pPr>
        <w:jc w:val="both"/>
        <w:rPr>
          <w:lang w:val="es-ES"/>
        </w:rPr>
      </w:pPr>
    </w:p>
    <w:p w14:paraId="7D421809" w14:textId="77777777" w:rsidR="00F10765" w:rsidRPr="00E22D40" w:rsidRDefault="00F10765" w:rsidP="00F10765">
      <w:pPr>
        <w:jc w:val="both"/>
        <w:rPr>
          <w:lang w:val="es-ES"/>
        </w:rPr>
      </w:pPr>
      <w:r w:rsidRPr="00E22D40">
        <w:rPr>
          <w:lang w:val="es-ES"/>
        </w:rPr>
        <w:t>De la misma manera, la Comisión tiene la facultad de certificar todas las compañías de servicio eléctrico que propongan ofrecer servicios en Puerto Rico, así como el poder de adjudicar los casos y controversias que surjan en virtud de las leyes y reglamentos sobre la industria o el servicio eléctrico. La Comisión tiene un amplio poder para realizar las investigaciones que sean necesarias a los fines de cumplir con sus deberes y responsabilidades, y asegurar el cabal cumplimiento con las leyes y los reglamentos que regulan la industria eléctrica de Puerto Rico.</w:t>
      </w:r>
    </w:p>
    <w:p w14:paraId="6BA10E2C" w14:textId="77777777" w:rsidR="00F10765" w:rsidRPr="00E22D40" w:rsidRDefault="00F10765" w:rsidP="00F10765">
      <w:pPr>
        <w:jc w:val="both"/>
        <w:rPr>
          <w:lang w:val="es-ES"/>
        </w:rPr>
      </w:pPr>
    </w:p>
    <w:p w14:paraId="336146A3" w14:textId="7BC0770C" w:rsidR="00F10765" w:rsidRPr="008343A6" w:rsidRDefault="00F10765" w:rsidP="00F10765">
      <w:pPr>
        <w:shd w:val="clear" w:color="auto" w:fill="FFFFFF"/>
        <w:jc w:val="both"/>
        <w:rPr>
          <w:rFonts w:cs="Tahoma"/>
          <w:color w:val="222222"/>
          <w:lang w:val="es-ES"/>
        </w:rPr>
      </w:pPr>
      <w:r w:rsidRPr="00E22D40">
        <w:rPr>
          <w:lang w:val="es-ES"/>
        </w:rPr>
        <w:lastRenderedPageBreak/>
        <w:t xml:space="preserve">Se desprende de lo anterior que la Comisión tiene ante sí una encomienda significativa, con múltiples responsabilidades, cuyo buen cumplimiento es de vital importancia para el País. </w:t>
      </w:r>
    </w:p>
    <w:p w14:paraId="5E68F757" w14:textId="77777777" w:rsidR="00F10765" w:rsidRPr="00BC1C22" w:rsidRDefault="00F10765" w:rsidP="00D24B59">
      <w:pPr>
        <w:pStyle w:val="Heading1"/>
        <w:spacing w:before="240"/>
        <w:ind w:left="181" w:hanging="181"/>
      </w:pPr>
      <w:bookmarkStart w:id="3" w:name="_Toc444174847"/>
      <w:bookmarkStart w:id="4" w:name="_Toc444616942"/>
      <w:r w:rsidRPr="00BC1C22">
        <w:t xml:space="preserve">LOGROS DE LA COMISIÓN DESDE SU CREACIÓN </w:t>
      </w:r>
      <w:bookmarkEnd w:id="3"/>
      <w:bookmarkEnd w:id="4"/>
    </w:p>
    <w:p w14:paraId="7BE5A5B6" w14:textId="77777777" w:rsidR="00F10765" w:rsidRPr="00E22D40" w:rsidRDefault="00F10765" w:rsidP="00F10765">
      <w:pPr>
        <w:jc w:val="both"/>
        <w:rPr>
          <w:lang w:val="es-ES"/>
        </w:rPr>
      </w:pPr>
    </w:p>
    <w:p w14:paraId="3413208B" w14:textId="77777777" w:rsidR="00F10765" w:rsidRPr="00E22D40" w:rsidRDefault="00F10765" w:rsidP="00F10765">
      <w:pPr>
        <w:jc w:val="both"/>
        <w:rPr>
          <w:lang w:val="es-ES"/>
        </w:rPr>
      </w:pPr>
      <w:r w:rsidRPr="00E22D40">
        <w:rPr>
          <w:lang w:val="es-ES"/>
        </w:rPr>
        <w:t xml:space="preserve">La Comisión ha actuado con determinación y rapidez, lo que le ha permitido alcanzar logros importantes y metas cruciales en consecución de los objetivos trazados por ésta. </w:t>
      </w:r>
    </w:p>
    <w:p w14:paraId="5CD43DD9" w14:textId="77777777" w:rsidR="00F10765" w:rsidRPr="00E22D40" w:rsidRDefault="00F10765" w:rsidP="00F10765">
      <w:pPr>
        <w:ind w:firstLine="360"/>
        <w:jc w:val="both"/>
        <w:rPr>
          <w:lang w:val="es-ES"/>
        </w:rPr>
      </w:pPr>
    </w:p>
    <w:p w14:paraId="5555A75D" w14:textId="77777777" w:rsidR="00F10765" w:rsidRPr="00BC1C22" w:rsidRDefault="00F10765" w:rsidP="00D24B59">
      <w:pPr>
        <w:pStyle w:val="Heading2"/>
        <w:ind w:left="851"/>
      </w:pPr>
      <w:bookmarkStart w:id="5" w:name="_Toc444616943"/>
      <w:r w:rsidRPr="00BC1C22">
        <w:t>Asuntos Administrativos</w:t>
      </w:r>
      <w:bookmarkEnd w:id="5"/>
    </w:p>
    <w:p w14:paraId="52028C73" w14:textId="77777777" w:rsidR="00F10765" w:rsidRPr="00E22D40" w:rsidRDefault="00F10765" w:rsidP="00F10765">
      <w:pPr>
        <w:jc w:val="both"/>
        <w:rPr>
          <w:rFonts w:cs="Tahoma"/>
          <w:lang w:val="es-ES"/>
        </w:rPr>
      </w:pPr>
    </w:p>
    <w:p w14:paraId="46D306AC" w14:textId="77777777" w:rsidR="00F10765" w:rsidRPr="00E22D40" w:rsidRDefault="00F10765" w:rsidP="00D24B59">
      <w:pPr>
        <w:ind w:left="851"/>
        <w:jc w:val="both"/>
        <w:rPr>
          <w:rFonts w:cs="Tahoma"/>
          <w:lang w:val="es-ES"/>
        </w:rPr>
      </w:pPr>
      <w:r w:rsidRPr="00E22D40">
        <w:rPr>
          <w:rFonts w:cs="Tahoma"/>
          <w:lang w:val="es-ES"/>
        </w:rPr>
        <w:t>El Pleno de la Comisión fue constituido en dicie</w:t>
      </w:r>
      <w:r>
        <w:rPr>
          <w:rFonts w:cs="Tahoma"/>
          <w:lang w:val="es-ES"/>
        </w:rPr>
        <w:t>mbre 2014 compuesto por el Lcdo.</w:t>
      </w:r>
      <w:r w:rsidRPr="00E22D40">
        <w:rPr>
          <w:rFonts w:cs="Tahoma"/>
          <w:lang w:val="es-ES"/>
        </w:rPr>
        <w:t xml:space="preserve"> Agustín F. </w:t>
      </w:r>
      <w:proofErr w:type="spellStart"/>
      <w:r w:rsidRPr="00E22D40">
        <w:rPr>
          <w:rFonts w:cs="Tahoma"/>
          <w:lang w:val="es-ES"/>
        </w:rPr>
        <w:t>Carbó</w:t>
      </w:r>
      <w:proofErr w:type="spellEnd"/>
      <w:r w:rsidRPr="00E22D40">
        <w:rPr>
          <w:rFonts w:cs="Tahoma"/>
          <w:lang w:val="es-ES"/>
        </w:rPr>
        <w:t xml:space="preserve"> Lugo, Presidente y quien fue confirmado en el mes de agosto 2014 por el Senado de Puerto Rico. Posteriormente fueron confirmados por el Senado de Puerto Rico como Comisionados Asociados, el Ing. Ángel R. Rivera de la Cruz, el 7 de mayo de 2015</w:t>
      </w:r>
      <w:r>
        <w:rPr>
          <w:rFonts w:cs="Tahoma"/>
          <w:lang w:val="es-ES"/>
        </w:rPr>
        <w:t xml:space="preserve"> y el </w:t>
      </w:r>
      <w:r w:rsidRPr="00E22D40">
        <w:rPr>
          <w:rFonts w:cs="Tahoma"/>
          <w:lang w:val="es-ES"/>
        </w:rPr>
        <w:t>Ing. José H. Román Mo</w:t>
      </w:r>
      <w:r>
        <w:rPr>
          <w:rFonts w:cs="Tahoma"/>
          <w:lang w:val="es-ES"/>
        </w:rPr>
        <w:t>rales, el 1 de julio de 2015</w:t>
      </w:r>
      <w:r w:rsidRPr="00E22D40">
        <w:rPr>
          <w:rFonts w:cs="Tahoma"/>
          <w:lang w:val="es-ES"/>
        </w:rPr>
        <w:t>.</w:t>
      </w:r>
    </w:p>
    <w:p w14:paraId="28B3C7BB" w14:textId="77777777" w:rsidR="00F10765" w:rsidRPr="000736FA" w:rsidRDefault="00F10765" w:rsidP="00D24B59">
      <w:pPr>
        <w:ind w:left="851"/>
        <w:jc w:val="both"/>
        <w:rPr>
          <w:rFonts w:cs="Tahoma"/>
          <w:lang w:val="es-ES"/>
        </w:rPr>
      </w:pPr>
    </w:p>
    <w:p w14:paraId="14022335" w14:textId="77777777" w:rsidR="00F10765" w:rsidRPr="00E22D40" w:rsidRDefault="00F10765" w:rsidP="00D24B59">
      <w:pPr>
        <w:pStyle w:val="ListParagraph"/>
        <w:ind w:left="851"/>
        <w:jc w:val="both"/>
        <w:rPr>
          <w:rFonts w:cs="Tahoma"/>
          <w:lang w:val="es-ES"/>
        </w:rPr>
      </w:pPr>
      <w:r>
        <w:rPr>
          <w:rFonts w:cs="Tahoma"/>
          <w:lang w:val="es-ES"/>
        </w:rPr>
        <w:t>A continuación, se describen los asuntos administrativos con los que la Comisión ha trabajado.</w:t>
      </w:r>
    </w:p>
    <w:p w14:paraId="310D6CAA" w14:textId="77777777" w:rsidR="00F10765" w:rsidRPr="00E22D40" w:rsidRDefault="00F10765" w:rsidP="00F10765">
      <w:pPr>
        <w:ind w:left="1080"/>
        <w:jc w:val="both"/>
        <w:rPr>
          <w:rFonts w:cs="Tahoma"/>
          <w:lang w:val="es-ES"/>
        </w:rPr>
      </w:pPr>
    </w:p>
    <w:p w14:paraId="6B0E8960" w14:textId="77777777" w:rsidR="00F10765" w:rsidRPr="004643B1" w:rsidRDefault="00F10765" w:rsidP="00D24B59">
      <w:pPr>
        <w:pStyle w:val="Heading3"/>
        <w:ind w:left="1418"/>
      </w:pPr>
      <w:r w:rsidRPr="004643B1">
        <w:t>Oficina de Gerencia y Presupuesto (OGP)</w:t>
      </w:r>
    </w:p>
    <w:p w14:paraId="27B91CFD" w14:textId="77777777" w:rsidR="00F10765" w:rsidRPr="00E22D40" w:rsidRDefault="00F10765" w:rsidP="00F10765">
      <w:pPr>
        <w:jc w:val="both"/>
        <w:rPr>
          <w:rFonts w:cs="Tahoma"/>
          <w:lang w:val="es-ES"/>
        </w:rPr>
      </w:pPr>
    </w:p>
    <w:p w14:paraId="0399EC28" w14:textId="01FED511" w:rsidR="00F10765" w:rsidRDefault="00F10765" w:rsidP="00D24B59">
      <w:pPr>
        <w:ind w:left="1418"/>
        <w:jc w:val="both"/>
        <w:rPr>
          <w:rFonts w:ascii="Cambria" w:hAnsi="Cambria" w:cs="Arial"/>
        </w:rPr>
      </w:pPr>
      <w:r w:rsidRPr="00E22D40">
        <w:rPr>
          <w:rFonts w:cs="Tahoma"/>
          <w:lang w:val="es-ES"/>
        </w:rPr>
        <w:t>Se presentó formalmente la Estructura Organizacional Permanen</w:t>
      </w:r>
      <w:r w:rsidR="00D24B59">
        <w:rPr>
          <w:rFonts w:cs="Tahoma"/>
          <w:lang w:val="es-ES"/>
        </w:rPr>
        <w:t>te Propuesta de la Comisión el 14 de diciembre de 2015.</w:t>
      </w:r>
      <w:r w:rsidRPr="00E22D40">
        <w:rPr>
          <w:rFonts w:cs="Tahoma"/>
          <w:lang w:val="es-ES"/>
        </w:rPr>
        <w:t xml:space="preserve"> </w:t>
      </w:r>
      <w:r w:rsidRPr="00CA71E7">
        <w:rPr>
          <w:rFonts w:ascii="Cambria" w:hAnsi="Cambria" w:cs="Arial"/>
        </w:rPr>
        <w:t>Luego del análisis correspondiente la OGP, mediante comunicación de 21 de marzo de 2016</w:t>
      </w:r>
      <w:r w:rsidRPr="00CA71E7">
        <w:rPr>
          <w:rStyle w:val="FootnoteReference"/>
          <w:rFonts w:ascii="Cambria" w:hAnsi="Cambria" w:cs="Arial"/>
        </w:rPr>
        <w:footnoteReference w:id="1"/>
      </w:r>
      <w:r w:rsidRPr="00CA71E7">
        <w:rPr>
          <w:rFonts w:ascii="Cambria" w:hAnsi="Cambria" w:cs="Arial"/>
        </w:rPr>
        <w:t>, según enmendada mediante comunicación de 13 de junio de 2016</w:t>
      </w:r>
      <w:r w:rsidRPr="00CA71E7">
        <w:rPr>
          <w:rStyle w:val="FootnoteReference"/>
          <w:rFonts w:ascii="Cambria" w:hAnsi="Cambria" w:cs="Arial"/>
        </w:rPr>
        <w:footnoteReference w:id="2"/>
      </w:r>
      <w:r w:rsidRPr="00CA71E7">
        <w:rPr>
          <w:rFonts w:ascii="Cambria" w:hAnsi="Cambria" w:cs="Arial"/>
        </w:rPr>
        <w:t>, aprobó la siguiente estructura organizacional dividida en cinco (5) unidades, con veinticinco (25) puestos distribuidos de la siguiente manera:</w:t>
      </w:r>
    </w:p>
    <w:p w14:paraId="430570A1" w14:textId="77777777" w:rsidR="00F10765" w:rsidRPr="00CA71E7" w:rsidRDefault="00F10765" w:rsidP="00F10765">
      <w:pPr>
        <w:ind w:left="1843"/>
        <w:jc w:val="both"/>
        <w:rPr>
          <w:rFonts w:ascii="Cambria" w:hAnsi="Cambria" w:cs="Arial"/>
          <w:lang w:val="es-ES"/>
        </w:rPr>
      </w:pPr>
    </w:p>
    <w:p w14:paraId="42BEAFDF" w14:textId="77777777" w:rsidR="00F10765" w:rsidRPr="00CA71E7" w:rsidRDefault="00F10765" w:rsidP="00F10765">
      <w:pPr>
        <w:pStyle w:val="ListParagraph"/>
        <w:numPr>
          <w:ilvl w:val="0"/>
          <w:numId w:val="6"/>
        </w:numPr>
        <w:spacing w:after="200"/>
        <w:ind w:left="2410"/>
        <w:jc w:val="both"/>
        <w:rPr>
          <w:rFonts w:ascii="Cambria" w:hAnsi="Cambria" w:cs="Arial"/>
        </w:rPr>
      </w:pPr>
      <w:proofErr w:type="spellStart"/>
      <w:r w:rsidRPr="00CA71E7">
        <w:rPr>
          <w:rFonts w:ascii="Cambria" w:hAnsi="Cambria" w:cs="Arial"/>
        </w:rPr>
        <w:t>Oficina</w:t>
      </w:r>
      <w:proofErr w:type="spellEnd"/>
      <w:r w:rsidRPr="00CA71E7">
        <w:rPr>
          <w:rFonts w:ascii="Cambria" w:hAnsi="Cambria" w:cs="Arial"/>
        </w:rPr>
        <w:t xml:space="preserve"> del </w:t>
      </w:r>
      <w:proofErr w:type="spellStart"/>
      <w:r w:rsidRPr="00CA71E7">
        <w:rPr>
          <w:rFonts w:ascii="Cambria" w:hAnsi="Cambria" w:cs="Arial"/>
        </w:rPr>
        <w:t>Presidente</w:t>
      </w:r>
      <w:proofErr w:type="spellEnd"/>
      <w:r w:rsidRPr="00CA71E7">
        <w:rPr>
          <w:rFonts w:ascii="Cambria" w:hAnsi="Cambria" w:cs="Arial"/>
        </w:rPr>
        <w:t xml:space="preserve"> y </w:t>
      </w:r>
      <w:proofErr w:type="spellStart"/>
      <w:r w:rsidRPr="00CA71E7">
        <w:rPr>
          <w:rFonts w:ascii="Cambria" w:hAnsi="Cambria" w:cs="Arial"/>
        </w:rPr>
        <w:t>Oficina</w:t>
      </w:r>
      <w:proofErr w:type="spellEnd"/>
      <w:r w:rsidRPr="00CA71E7">
        <w:rPr>
          <w:rFonts w:ascii="Cambria" w:hAnsi="Cambria" w:cs="Arial"/>
        </w:rPr>
        <w:t xml:space="preserve"> de los </w:t>
      </w:r>
      <w:proofErr w:type="spellStart"/>
      <w:r w:rsidRPr="00CA71E7">
        <w:rPr>
          <w:rFonts w:ascii="Cambria" w:hAnsi="Cambria" w:cs="Arial"/>
        </w:rPr>
        <w:t>Comisionados</w:t>
      </w:r>
      <w:proofErr w:type="spellEnd"/>
      <w:r w:rsidRPr="00CA71E7">
        <w:rPr>
          <w:rFonts w:ascii="Cambria" w:hAnsi="Cambria" w:cs="Arial"/>
        </w:rPr>
        <w:t>: (10)</w:t>
      </w:r>
    </w:p>
    <w:p w14:paraId="286DE09E" w14:textId="77777777" w:rsidR="00F10765" w:rsidRPr="00CA71E7" w:rsidRDefault="00F10765" w:rsidP="00F10765">
      <w:pPr>
        <w:pStyle w:val="ListParagraph"/>
        <w:numPr>
          <w:ilvl w:val="0"/>
          <w:numId w:val="6"/>
        </w:numPr>
        <w:spacing w:after="200"/>
        <w:ind w:left="2410"/>
        <w:jc w:val="both"/>
        <w:rPr>
          <w:rFonts w:ascii="Cambria" w:hAnsi="Cambria" w:cs="Arial"/>
        </w:rPr>
      </w:pPr>
      <w:proofErr w:type="spellStart"/>
      <w:r w:rsidRPr="00CA71E7">
        <w:rPr>
          <w:rFonts w:ascii="Cambria" w:hAnsi="Cambria" w:cs="Arial"/>
        </w:rPr>
        <w:t>Oficina</w:t>
      </w:r>
      <w:proofErr w:type="spellEnd"/>
      <w:r w:rsidRPr="00CA71E7">
        <w:rPr>
          <w:rFonts w:ascii="Cambria" w:hAnsi="Cambria" w:cs="Arial"/>
        </w:rPr>
        <w:t xml:space="preserve"> del Director </w:t>
      </w:r>
      <w:proofErr w:type="spellStart"/>
      <w:r w:rsidRPr="00CA71E7">
        <w:rPr>
          <w:rFonts w:ascii="Cambria" w:hAnsi="Cambria" w:cs="Arial"/>
        </w:rPr>
        <w:t>Ejecutivo</w:t>
      </w:r>
      <w:proofErr w:type="spellEnd"/>
      <w:r w:rsidRPr="00CA71E7">
        <w:rPr>
          <w:rFonts w:ascii="Cambria" w:hAnsi="Cambria" w:cs="Arial"/>
        </w:rPr>
        <w:t>: (2)</w:t>
      </w:r>
    </w:p>
    <w:p w14:paraId="1A4EE8BD" w14:textId="77777777" w:rsidR="00F10765" w:rsidRPr="00CA71E7" w:rsidRDefault="00F10765" w:rsidP="00F10765">
      <w:pPr>
        <w:pStyle w:val="ListParagraph"/>
        <w:numPr>
          <w:ilvl w:val="0"/>
          <w:numId w:val="6"/>
        </w:numPr>
        <w:spacing w:after="200"/>
        <w:ind w:left="2410"/>
        <w:jc w:val="both"/>
        <w:rPr>
          <w:rFonts w:ascii="Cambria" w:hAnsi="Cambria" w:cs="Arial"/>
        </w:rPr>
      </w:pPr>
      <w:proofErr w:type="spellStart"/>
      <w:r w:rsidRPr="00CA71E7">
        <w:rPr>
          <w:rFonts w:ascii="Cambria" w:hAnsi="Cambria" w:cs="Arial"/>
        </w:rPr>
        <w:t>Oficina</w:t>
      </w:r>
      <w:proofErr w:type="spellEnd"/>
      <w:r w:rsidRPr="00CA71E7">
        <w:rPr>
          <w:rFonts w:ascii="Cambria" w:hAnsi="Cambria" w:cs="Arial"/>
        </w:rPr>
        <w:t xml:space="preserve"> de </w:t>
      </w:r>
      <w:proofErr w:type="spellStart"/>
      <w:r w:rsidRPr="00CA71E7">
        <w:rPr>
          <w:rFonts w:ascii="Cambria" w:hAnsi="Cambria" w:cs="Arial"/>
        </w:rPr>
        <w:t>Secretaría</w:t>
      </w:r>
      <w:proofErr w:type="spellEnd"/>
      <w:r w:rsidRPr="00CA71E7">
        <w:rPr>
          <w:rFonts w:ascii="Cambria" w:hAnsi="Cambria" w:cs="Arial"/>
        </w:rPr>
        <w:t>: (4)</w:t>
      </w:r>
    </w:p>
    <w:p w14:paraId="60435E3E" w14:textId="77777777" w:rsidR="00F10765" w:rsidRPr="00CA71E7" w:rsidRDefault="00F10765" w:rsidP="00F10765">
      <w:pPr>
        <w:pStyle w:val="ListParagraph"/>
        <w:numPr>
          <w:ilvl w:val="0"/>
          <w:numId w:val="6"/>
        </w:numPr>
        <w:spacing w:after="200"/>
        <w:ind w:left="2410"/>
        <w:jc w:val="both"/>
        <w:rPr>
          <w:rFonts w:ascii="Cambria" w:hAnsi="Cambria" w:cs="Arial"/>
        </w:rPr>
      </w:pPr>
      <w:proofErr w:type="spellStart"/>
      <w:r w:rsidRPr="00CA71E7">
        <w:rPr>
          <w:rFonts w:ascii="Cambria" w:hAnsi="Cambria" w:cs="Arial"/>
        </w:rPr>
        <w:t>Oficina</w:t>
      </w:r>
      <w:proofErr w:type="spellEnd"/>
      <w:r w:rsidRPr="00CA71E7">
        <w:rPr>
          <w:rFonts w:ascii="Cambria" w:hAnsi="Cambria" w:cs="Arial"/>
        </w:rPr>
        <w:t xml:space="preserve"> de </w:t>
      </w:r>
      <w:proofErr w:type="spellStart"/>
      <w:r w:rsidRPr="00CA71E7">
        <w:rPr>
          <w:rFonts w:ascii="Cambria" w:hAnsi="Cambria" w:cs="Arial"/>
        </w:rPr>
        <w:t>Asesoramiento</w:t>
      </w:r>
      <w:proofErr w:type="spellEnd"/>
      <w:r w:rsidRPr="00CA71E7">
        <w:rPr>
          <w:rFonts w:ascii="Cambria" w:hAnsi="Cambria" w:cs="Arial"/>
        </w:rPr>
        <w:t xml:space="preserve"> Legal: (5)</w:t>
      </w:r>
    </w:p>
    <w:p w14:paraId="13836A96" w14:textId="77777777" w:rsidR="00F10765" w:rsidRPr="00CA71E7" w:rsidRDefault="00F10765" w:rsidP="00F10765">
      <w:pPr>
        <w:pStyle w:val="ListParagraph"/>
        <w:numPr>
          <w:ilvl w:val="0"/>
          <w:numId w:val="6"/>
        </w:numPr>
        <w:spacing w:after="200"/>
        <w:ind w:left="2410"/>
        <w:jc w:val="both"/>
        <w:rPr>
          <w:rFonts w:ascii="Cambria" w:hAnsi="Cambria" w:cs="Arial"/>
        </w:rPr>
      </w:pPr>
      <w:proofErr w:type="spellStart"/>
      <w:r w:rsidRPr="00CA71E7">
        <w:rPr>
          <w:rFonts w:ascii="Cambria" w:hAnsi="Cambria" w:cs="Arial"/>
        </w:rPr>
        <w:t>Oficina</w:t>
      </w:r>
      <w:proofErr w:type="spellEnd"/>
      <w:r w:rsidRPr="00CA71E7">
        <w:rPr>
          <w:rFonts w:ascii="Cambria" w:hAnsi="Cambria" w:cs="Arial"/>
        </w:rPr>
        <w:t xml:space="preserve"> de </w:t>
      </w:r>
      <w:proofErr w:type="spellStart"/>
      <w:r w:rsidRPr="00CA71E7">
        <w:rPr>
          <w:rFonts w:ascii="Cambria" w:hAnsi="Cambria" w:cs="Arial"/>
        </w:rPr>
        <w:t>Planificación</w:t>
      </w:r>
      <w:proofErr w:type="spellEnd"/>
      <w:r w:rsidRPr="00CA71E7">
        <w:rPr>
          <w:rFonts w:ascii="Cambria" w:hAnsi="Cambria" w:cs="Arial"/>
        </w:rPr>
        <w:t xml:space="preserve"> e </w:t>
      </w:r>
      <w:proofErr w:type="spellStart"/>
      <w:r w:rsidRPr="00CA71E7">
        <w:rPr>
          <w:rFonts w:ascii="Cambria" w:hAnsi="Cambria" w:cs="Arial"/>
        </w:rPr>
        <w:t>Infraestructura</w:t>
      </w:r>
      <w:proofErr w:type="spellEnd"/>
      <w:r w:rsidRPr="00CA71E7">
        <w:rPr>
          <w:rFonts w:ascii="Cambria" w:hAnsi="Cambria" w:cs="Arial"/>
        </w:rPr>
        <w:t>: (4)</w:t>
      </w:r>
      <w:r w:rsidRPr="00CA71E7">
        <w:rPr>
          <w:rStyle w:val="FootnoteReference"/>
          <w:rFonts w:ascii="Cambria" w:hAnsi="Cambria" w:cs="Arial"/>
        </w:rPr>
        <w:footnoteReference w:id="3"/>
      </w:r>
    </w:p>
    <w:p w14:paraId="339CABD9" w14:textId="77777777" w:rsidR="00F10765" w:rsidRDefault="00F10765" w:rsidP="00F10765">
      <w:pPr>
        <w:pStyle w:val="ListParagraph"/>
        <w:ind w:left="1134"/>
        <w:jc w:val="center"/>
        <w:rPr>
          <w:lang w:val="es-ES"/>
        </w:rPr>
      </w:pPr>
    </w:p>
    <w:p w14:paraId="1C7975E2" w14:textId="77777777" w:rsidR="00F10765" w:rsidRDefault="00F10765" w:rsidP="00D24B59">
      <w:pPr>
        <w:spacing w:after="120"/>
        <w:ind w:left="1418"/>
        <w:jc w:val="both"/>
        <w:rPr>
          <w:rFonts w:ascii="Cambria" w:eastAsia="Times New Roman" w:hAnsi="Cambria" w:cs="Arial"/>
          <w:color w:val="000000"/>
        </w:rPr>
      </w:pPr>
      <w:r w:rsidRPr="00CA71E7">
        <w:rPr>
          <w:rFonts w:ascii="Cambria" w:eastAsia="Times New Roman" w:hAnsi="Cambria" w:cs="Arial"/>
          <w:color w:val="000000"/>
          <w:spacing w:val="-3"/>
        </w:rPr>
        <w:t xml:space="preserve">Es importante </w:t>
      </w:r>
      <w:r w:rsidRPr="00CA71E7">
        <w:rPr>
          <w:rFonts w:ascii="Cambria" w:eastAsia="Times New Roman" w:hAnsi="Cambria" w:cs="Arial"/>
          <w:color w:val="000000"/>
        </w:rPr>
        <w:t>indicar que el Plan de Clasificación y Retribución de la CEPR se encuentra en la Oficina de Capacitación y Asesoramiento en Asuntos Laborales y de Administración de Recursos Humanos (“OCALARH”) para su evaluación y aprobación final.</w:t>
      </w:r>
    </w:p>
    <w:p w14:paraId="7AAC0E9A" w14:textId="77777777" w:rsidR="00F10765" w:rsidRPr="00E22D40" w:rsidRDefault="00F10765" w:rsidP="00F10765">
      <w:pPr>
        <w:pStyle w:val="ListParagraph"/>
        <w:ind w:left="709"/>
        <w:jc w:val="both"/>
        <w:rPr>
          <w:lang w:val="es-ES"/>
        </w:rPr>
      </w:pPr>
    </w:p>
    <w:p w14:paraId="35B9304B" w14:textId="77777777" w:rsidR="00F10765" w:rsidRPr="00E22D40" w:rsidRDefault="00F10765" w:rsidP="00D24B59">
      <w:pPr>
        <w:pStyle w:val="Heading3"/>
        <w:ind w:left="1418"/>
      </w:pPr>
      <w:r w:rsidRPr="00E22D40">
        <w:t>Finanzas y Presupuesto</w:t>
      </w:r>
    </w:p>
    <w:p w14:paraId="1C7E7AF3" w14:textId="77777777" w:rsidR="00F10765" w:rsidRPr="00E22D40" w:rsidRDefault="00F10765" w:rsidP="00F10765">
      <w:pPr>
        <w:pStyle w:val="ListParagraph"/>
        <w:ind w:left="1080"/>
        <w:jc w:val="both"/>
        <w:rPr>
          <w:rFonts w:cs="Tahoma"/>
          <w:lang w:val="es-ES"/>
        </w:rPr>
      </w:pPr>
    </w:p>
    <w:p w14:paraId="3B3F7D9E" w14:textId="1C4CB457" w:rsidR="00F10765" w:rsidRDefault="00F10765" w:rsidP="00D24B59">
      <w:pPr>
        <w:pStyle w:val="Heading3"/>
        <w:numPr>
          <w:ilvl w:val="0"/>
          <w:numId w:val="0"/>
        </w:numPr>
        <w:ind w:left="1418"/>
      </w:pPr>
      <w:r>
        <w:t>El Presupuesto de la CEPR se nutre de la aportación anual ordenada por Ley a la AEE por la cantidad de cinco millones ochocientos mil dólares ($5,800,000) de sus ingresos. Esta aportación se remitirá en dos pagos anuales</w:t>
      </w:r>
      <w:r w:rsidR="00D24B59">
        <w:t>, el primero</w:t>
      </w:r>
      <w:r>
        <w:t xml:space="preserve"> en o antes del 15 de julio y el segundo pago, en o antes del 15 de diciembre de cada año. Además, la Ley establece que cualquier otra persona o compañía de servicio eléctrico que genere ingresos al generar energía eléctrica pagará cargos a la CEPR que no excederán el punto veinticinco por ciento (.25%) de su </w:t>
      </w:r>
      <w:r w:rsidR="00D24B59">
        <w:t>ingreso bruto anual proveniente</w:t>
      </w:r>
      <w:r>
        <w:t xml:space="preserve"> de la prestación de servicios en Puerto Rico. </w:t>
      </w:r>
    </w:p>
    <w:p w14:paraId="0DC2D8DD" w14:textId="77777777" w:rsidR="00F10765" w:rsidRPr="00276907" w:rsidRDefault="00F10765" w:rsidP="00D24B59">
      <w:pPr>
        <w:ind w:left="1418"/>
        <w:rPr>
          <w:lang w:val="es-ES"/>
        </w:rPr>
      </w:pPr>
    </w:p>
    <w:p w14:paraId="07064E2F" w14:textId="77777777" w:rsidR="00F10765" w:rsidRDefault="00F10765" w:rsidP="00D24B59">
      <w:pPr>
        <w:pStyle w:val="Heading3"/>
        <w:numPr>
          <w:ilvl w:val="0"/>
          <w:numId w:val="0"/>
        </w:numPr>
        <w:ind w:left="1418"/>
      </w:pPr>
      <w:r>
        <w:t>El presupuesto de la CEPR correspondiente al Año Fiscal 2016-2017 es de seis millones cincuenta mil dólares ($6,050,000.00) según establecido en la OGP-4.</w:t>
      </w:r>
    </w:p>
    <w:p w14:paraId="17F227E2" w14:textId="77777777" w:rsidR="00F10765" w:rsidRPr="00276907" w:rsidRDefault="00F10765" w:rsidP="00F10765">
      <w:pPr>
        <w:rPr>
          <w:lang w:val="es-ES"/>
        </w:rPr>
      </w:pPr>
    </w:p>
    <w:p w14:paraId="3FF0D587" w14:textId="77777777" w:rsidR="00F10765" w:rsidRPr="00E22D40" w:rsidRDefault="00F10765" w:rsidP="00D24B59">
      <w:pPr>
        <w:pStyle w:val="Heading3"/>
        <w:ind w:left="1418"/>
      </w:pPr>
      <w:r w:rsidRPr="00E22D40">
        <w:t>Recursos Humanos</w:t>
      </w:r>
    </w:p>
    <w:p w14:paraId="153C8060" w14:textId="77777777" w:rsidR="00F10765" w:rsidRPr="00E22D40" w:rsidRDefault="00F10765" w:rsidP="00F10765">
      <w:pPr>
        <w:pStyle w:val="ListParagraph"/>
        <w:ind w:left="1080"/>
        <w:jc w:val="both"/>
        <w:rPr>
          <w:rFonts w:cs="Tahoma"/>
          <w:lang w:val="es-ES"/>
        </w:rPr>
      </w:pPr>
    </w:p>
    <w:p w14:paraId="4D159EAB" w14:textId="21A3F01C" w:rsidR="00F10765" w:rsidRPr="00E22D40" w:rsidRDefault="00F10765" w:rsidP="00D24B59">
      <w:pPr>
        <w:pStyle w:val="ListParagraph"/>
        <w:ind w:left="1418"/>
        <w:jc w:val="both"/>
        <w:rPr>
          <w:rFonts w:cs="Tahoma"/>
          <w:lang w:val="es-ES"/>
        </w:rPr>
      </w:pPr>
      <w:r w:rsidRPr="00E22D40">
        <w:rPr>
          <w:rFonts w:cs="Tahoma"/>
          <w:lang w:val="es-ES"/>
        </w:rPr>
        <w:t xml:space="preserve">Se ha continuado con el reclutamiento del personal especializado en cada una de las áreas </w:t>
      </w:r>
      <w:r>
        <w:rPr>
          <w:rFonts w:cs="Tahoma"/>
          <w:lang w:val="es-ES"/>
        </w:rPr>
        <w:t>de</w:t>
      </w:r>
      <w:r w:rsidRPr="00E22D40">
        <w:rPr>
          <w:rFonts w:cs="Tahoma"/>
          <w:lang w:val="es-ES"/>
        </w:rPr>
        <w:t xml:space="preserve"> la Comisión. Por otro lado, la Comisión identificó consultores especializados que le han ofrecido todo el asesoramiento necesar</w:t>
      </w:r>
      <w:r>
        <w:rPr>
          <w:rFonts w:cs="Tahoma"/>
          <w:lang w:val="es-ES"/>
        </w:rPr>
        <w:t>io en asuntos legales, técnicos y</w:t>
      </w:r>
      <w:r w:rsidRPr="00E22D40">
        <w:rPr>
          <w:rFonts w:cs="Tahoma"/>
          <w:lang w:val="es-ES"/>
        </w:rPr>
        <w:t xml:space="preserve"> de ingeniería</w:t>
      </w:r>
      <w:r>
        <w:rPr>
          <w:rFonts w:cs="Tahoma"/>
          <w:lang w:val="es-ES"/>
        </w:rPr>
        <w:t>,</w:t>
      </w:r>
      <w:r w:rsidRPr="00E22D40">
        <w:rPr>
          <w:rFonts w:cs="Tahoma"/>
          <w:lang w:val="es-ES"/>
        </w:rPr>
        <w:t xml:space="preserve"> entre otros. </w:t>
      </w:r>
      <w:r>
        <w:rPr>
          <w:rFonts w:cs="Tahoma"/>
          <w:lang w:val="es-ES"/>
        </w:rPr>
        <w:t>Se mantiene la capacitación de</w:t>
      </w:r>
      <w:r w:rsidRPr="00E22D40">
        <w:rPr>
          <w:rFonts w:cs="Tahoma"/>
          <w:lang w:val="es-ES"/>
        </w:rPr>
        <w:t xml:space="preserve"> recursos humanos con adiestramientos necesarios en cada una de sus áreas. </w:t>
      </w:r>
    </w:p>
    <w:p w14:paraId="5174DE03" w14:textId="77777777" w:rsidR="00F10765" w:rsidRPr="00E22D40" w:rsidRDefault="00F10765" w:rsidP="00F10765">
      <w:pPr>
        <w:ind w:left="1080"/>
        <w:jc w:val="both"/>
        <w:rPr>
          <w:rFonts w:cs="Tahoma"/>
          <w:lang w:val="es-ES"/>
        </w:rPr>
      </w:pPr>
    </w:p>
    <w:p w14:paraId="0B75F568" w14:textId="77777777" w:rsidR="00F10765" w:rsidRPr="00E22D40" w:rsidRDefault="00F10765" w:rsidP="00D24B59">
      <w:pPr>
        <w:pStyle w:val="Heading3"/>
        <w:ind w:left="1418"/>
      </w:pPr>
      <w:r w:rsidRPr="00E22D40">
        <w:t>Ubicación de la CEPR</w:t>
      </w:r>
    </w:p>
    <w:p w14:paraId="475441DD" w14:textId="77777777" w:rsidR="00F10765" w:rsidRPr="00E22D40" w:rsidRDefault="00F10765" w:rsidP="00F10765">
      <w:pPr>
        <w:pStyle w:val="ListParagraph"/>
        <w:ind w:left="1080"/>
        <w:jc w:val="both"/>
        <w:rPr>
          <w:rFonts w:cs="Tahoma"/>
          <w:lang w:val="es-ES"/>
        </w:rPr>
      </w:pPr>
    </w:p>
    <w:p w14:paraId="066FA623" w14:textId="77777777" w:rsidR="00F10765" w:rsidRPr="00E22D40" w:rsidRDefault="00F10765" w:rsidP="00D24B59">
      <w:pPr>
        <w:pStyle w:val="ListParagraph"/>
        <w:ind w:left="1418"/>
        <w:jc w:val="both"/>
        <w:rPr>
          <w:rFonts w:cs="Tahoma"/>
          <w:lang w:val="es-ES"/>
        </w:rPr>
      </w:pPr>
      <w:r w:rsidRPr="00E22D40">
        <w:rPr>
          <w:rFonts w:cs="Tahoma"/>
          <w:lang w:val="es-ES"/>
        </w:rPr>
        <w:t>La Comisión estableció oficialmente sus oficinas en el Edif</w:t>
      </w:r>
      <w:r>
        <w:rPr>
          <w:rFonts w:cs="Tahoma"/>
          <w:lang w:val="es-ES"/>
        </w:rPr>
        <w:t>icio</w:t>
      </w:r>
      <w:r w:rsidRPr="00E22D40">
        <w:rPr>
          <w:rFonts w:cs="Tahoma"/>
          <w:lang w:val="es-ES"/>
        </w:rPr>
        <w:t xml:space="preserve"> </w:t>
      </w:r>
      <w:proofErr w:type="spellStart"/>
      <w:r>
        <w:rPr>
          <w:rFonts w:cs="Tahoma"/>
          <w:lang w:val="es-ES"/>
        </w:rPr>
        <w:t>Seaborne</w:t>
      </w:r>
      <w:proofErr w:type="spellEnd"/>
      <w:r w:rsidRPr="00E22D40">
        <w:rPr>
          <w:rFonts w:cs="Tahoma"/>
          <w:lang w:val="es-ES"/>
        </w:rPr>
        <w:t>, 268 Ave</w:t>
      </w:r>
      <w:r>
        <w:rPr>
          <w:rFonts w:cs="Tahoma"/>
          <w:lang w:val="es-ES"/>
        </w:rPr>
        <w:t xml:space="preserve">nida Luis Muñoz Rivera, piso 7, donde encontrará la Oficina de </w:t>
      </w:r>
      <w:r w:rsidRPr="00E22D40">
        <w:rPr>
          <w:rFonts w:cs="Tahoma"/>
          <w:lang w:val="es-ES"/>
        </w:rPr>
        <w:t xml:space="preserve">Presidencia y </w:t>
      </w:r>
      <w:r>
        <w:rPr>
          <w:rFonts w:cs="Tahoma"/>
          <w:lang w:val="es-ES"/>
        </w:rPr>
        <w:t xml:space="preserve">de los </w:t>
      </w:r>
      <w:r w:rsidRPr="00E22D40">
        <w:rPr>
          <w:rFonts w:cs="Tahoma"/>
          <w:lang w:val="es-ES"/>
        </w:rPr>
        <w:t>Comisionados</w:t>
      </w:r>
      <w:r>
        <w:rPr>
          <w:rFonts w:cs="Tahoma"/>
          <w:lang w:val="es-ES"/>
        </w:rPr>
        <w:t xml:space="preserve"> Asociados</w:t>
      </w:r>
      <w:r w:rsidRPr="00E22D40">
        <w:rPr>
          <w:rFonts w:cs="Tahoma"/>
          <w:lang w:val="es-ES"/>
        </w:rPr>
        <w:t xml:space="preserve">, Área de Informática, Planificación e Ingeniería y Área Legal. Actualmente, </w:t>
      </w:r>
      <w:r>
        <w:rPr>
          <w:rFonts w:cs="Tahoma"/>
          <w:lang w:val="es-ES"/>
        </w:rPr>
        <w:t>la</w:t>
      </w:r>
      <w:r w:rsidRPr="00E22D40">
        <w:rPr>
          <w:rFonts w:cs="Tahoma"/>
          <w:lang w:val="es-ES"/>
        </w:rPr>
        <w:t xml:space="preserve"> Sala de Vistas</w:t>
      </w:r>
      <w:r>
        <w:rPr>
          <w:rFonts w:cs="Tahoma"/>
          <w:lang w:val="es-ES"/>
        </w:rPr>
        <w:t xml:space="preserve"> se encuentra localizada en el piso 8 y la Secretarí</w:t>
      </w:r>
      <w:r w:rsidRPr="00E22D40">
        <w:rPr>
          <w:rFonts w:cs="Tahoma"/>
          <w:lang w:val="es-ES"/>
        </w:rPr>
        <w:t>a de la Comisión</w:t>
      </w:r>
      <w:r>
        <w:rPr>
          <w:rFonts w:cs="Tahoma"/>
          <w:lang w:val="es-ES"/>
        </w:rPr>
        <w:t xml:space="preserve"> comenzó sus operaciones durante el mes de octubre de 2016 en el Nivel Plaza del mismo edificio. </w:t>
      </w:r>
    </w:p>
    <w:p w14:paraId="044540F2" w14:textId="77777777" w:rsidR="00F10765" w:rsidRPr="00E22D40" w:rsidRDefault="00F10765" w:rsidP="00F10765">
      <w:pPr>
        <w:jc w:val="both"/>
        <w:rPr>
          <w:rFonts w:cs="Tahoma"/>
          <w:lang w:val="es-ES"/>
        </w:rPr>
      </w:pPr>
    </w:p>
    <w:p w14:paraId="6FD9282D" w14:textId="77777777" w:rsidR="00F10765" w:rsidRPr="00E22D40" w:rsidRDefault="00F10765" w:rsidP="00D24B59">
      <w:pPr>
        <w:pStyle w:val="Heading3"/>
        <w:ind w:left="1418"/>
      </w:pPr>
      <w:r w:rsidRPr="00E22D40">
        <w:t>Creación de la A</w:t>
      </w:r>
      <w:r>
        <w:t xml:space="preserve">dministración de </w:t>
      </w:r>
      <w:r w:rsidRPr="00E22D40">
        <w:t>E</w:t>
      </w:r>
      <w:r>
        <w:t xml:space="preserve">nergía de </w:t>
      </w:r>
      <w:r w:rsidRPr="00E22D40">
        <w:t>P</w:t>
      </w:r>
      <w:r>
        <w:t xml:space="preserve">uerto </w:t>
      </w:r>
      <w:r w:rsidRPr="00E22D40">
        <w:t>R</w:t>
      </w:r>
      <w:r>
        <w:t>ico (“AEPR”)</w:t>
      </w:r>
    </w:p>
    <w:p w14:paraId="78E74340" w14:textId="77777777" w:rsidR="00F10765" w:rsidRPr="00E22D40" w:rsidRDefault="00F10765" w:rsidP="00F10765">
      <w:pPr>
        <w:jc w:val="both"/>
        <w:rPr>
          <w:rFonts w:cs="Tahoma"/>
          <w:lang w:val="es-ES"/>
        </w:rPr>
      </w:pPr>
    </w:p>
    <w:p w14:paraId="01324533" w14:textId="344C09B1" w:rsidR="00F10765" w:rsidRPr="00E22D40" w:rsidRDefault="00F10765" w:rsidP="00D24B59">
      <w:pPr>
        <w:ind w:left="1418"/>
        <w:jc w:val="both"/>
        <w:rPr>
          <w:rFonts w:cs="Tahoma"/>
          <w:lang w:val="es-ES"/>
        </w:rPr>
      </w:pPr>
      <w:r w:rsidRPr="00E22D40">
        <w:rPr>
          <w:rFonts w:cs="Tahoma"/>
          <w:lang w:val="es-ES"/>
        </w:rPr>
        <w:t xml:space="preserve">El pasado 14 de enero de 2016 </w:t>
      </w:r>
      <w:r>
        <w:rPr>
          <w:rFonts w:cs="Tahoma"/>
          <w:lang w:val="es-ES"/>
        </w:rPr>
        <w:t>se nombró</w:t>
      </w:r>
      <w:r w:rsidRPr="00E22D40">
        <w:rPr>
          <w:rFonts w:cs="Tahoma"/>
          <w:lang w:val="es-ES"/>
        </w:rPr>
        <w:t xml:space="preserve">, con el aval y consentimiento de este servidor, Lcdo. Agustín F. </w:t>
      </w:r>
      <w:proofErr w:type="spellStart"/>
      <w:r w:rsidRPr="00E22D40">
        <w:rPr>
          <w:rFonts w:cs="Tahoma"/>
          <w:lang w:val="es-ES"/>
        </w:rPr>
        <w:t>Carbó</w:t>
      </w:r>
      <w:proofErr w:type="spellEnd"/>
      <w:r w:rsidRPr="00E22D40">
        <w:rPr>
          <w:rFonts w:cs="Tahoma"/>
          <w:lang w:val="es-ES"/>
        </w:rPr>
        <w:t xml:space="preserve"> Lugo, Presidente de la Comisión, del Lcdo. José A. Pérez Vélez, Director Ejecutivo de la Oficina Independiente de Protección al Consumidor</w:t>
      </w:r>
      <w:r>
        <w:rPr>
          <w:rFonts w:cs="Tahoma"/>
          <w:lang w:val="es-ES"/>
        </w:rPr>
        <w:t xml:space="preserve"> (“OIPC”)</w:t>
      </w:r>
      <w:r w:rsidRPr="00E22D40">
        <w:rPr>
          <w:rFonts w:cs="Tahoma"/>
          <w:lang w:val="es-ES"/>
        </w:rPr>
        <w:t>, y del Ing. José G. Maeso González, Director Ejecutivo de la Oficina Estatal de Política Pública</w:t>
      </w:r>
      <w:r>
        <w:rPr>
          <w:rFonts w:cs="Tahoma"/>
          <w:lang w:val="es-ES"/>
        </w:rPr>
        <w:t xml:space="preserve"> (“OEPPE”)</w:t>
      </w:r>
      <w:r w:rsidRPr="00E22D40">
        <w:rPr>
          <w:rFonts w:cs="Tahoma"/>
          <w:lang w:val="es-ES"/>
        </w:rPr>
        <w:t>, la Administradora de la Administración de Energía de Puerto Rico</w:t>
      </w:r>
      <w:r>
        <w:rPr>
          <w:rFonts w:cs="Tahoma"/>
          <w:lang w:val="es-ES"/>
        </w:rPr>
        <w:t>,</w:t>
      </w:r>
      <w:r w:rsidRPr="00E22D40">
        <w:rPr>
          <w:rFonts w:cs="Tahoma"/>
          <w:lang w:val="es-ES"/>
        </w:rPr>
        <w:t xml:space="preserve"> cumpliendo así con lo establecido en la Ley 57</w:t>
      </w:r>
      <w:r>
        <w:rPr>
          <w:rFonts w:cs="Tahoma"/>
          <w:lang w:val="es-ES"/>
        </w:rPr>
        <w:t>-2014</w:t>
      </w:r>
      <w:r w:rsidRPr="00E22D40">
        <w:rPr>
          <w:rFonts w:cs="Tahoma"/>
          <w:lang w:val="es-ES"/>
        </w:rPr>
        <w:t>. Esta agencia será el sostén administrativo y operacional de la CEPR, la OEPPE y la OIPC</w:t>
      </w:r>
      <w:r>
        <w:rPr>
          <w:rFonts w:cs="Tahoma"/>
          <w:lang w:val="es-ES"/>
        </w:rPr>
        <w:t>, y ofrecerá servicios tales como</w:t>
      </w:r>
      <w:r w:rsidRPr="00E22D40">
        <w:rPr>
          <w:rFonts w:cs="Tahoma"/>
          <w:lang w:val="es-ES"/>
        </w:rPr>
        <w:t>: manejo de recursos humanos, compras, presupuesto, finan</w:t>
      </w:r>
      <w:r>
        <w:rPr>
          <w:rFonts w:cs="Tahoma"/>
          <w:lang w:val="es-ES"/>
        </w:rPr>
        <w:t>zas, tecnología y mantenimiento, entre</w:t>
      </w:r>
      <w:r w:rsidRPr="00E22D40">
        <w:rPr>
          <w:rFonts w:cs="Tahoma"/>
          <w:lang w:val="es-ES"/>
        </w:rPr>
        <w:t xml:space="preserve"> otros.  </w:t>
      </w:r>
    </w:p>
    <w:p w14:paraId="009558D3" w14:textId="77777777" w:rsidR="00F10765" w:rsidRPr="00E22D40" w:rsidRDefault="00F10765" w:rsidP="00F10765">
      <w:pPr>
        <w:jc w:val="both"/>
        <w:rPr>
          <w:lang w:val="es-ES"/>
        </w:rPr>
      </w:pPr>
      <w:r w:rsidRPr="00E22D40">
        <w:rPr>
          <w:rFonts w:cs="Tahoma"/>
          <w:lang w:val="es-ES"/>
        </w:rPr>
        <w:t xml:space="preserve"> </w:t>
      </w:r>
      <w:r w:rsidRPr="00E22D40">
        <w:rPr>
          <w:lang w:val="es-ES"/>
        </w:rPr>
        <w:t xml:space="preserve"> </w:t>
      </w:r>
    </w:p>
    <w:p w14:paraId="7C7D38F8" w14:textId="77777777" w:rsidR="00F10765" w:rsidRPr="00B93B01" w:rsidRDefault="00F10765" w:rsidP="00D24B59">
      <w:pPr>
        <w:pStyle w:val="Heading2"/>
        <w:ind w:left="851"/>
      </w:pPr>
      <w:bookmarkStart w:id="6" w:name="_Toc444174848"/>
      <w:bookmarkStart w:id="7" w:name="_Toc444616944"/>
      <w:r w:rsidRPr="00B93B01">
        <w:t>Aprobación de Reglamentos</w:t>
      </w:r>
      <w:bookmarkEnd w:id="6"/>
      <w:bookmarkEnd w:id="7"/>
    </w:p>
    <w:p w14:paraId="6AFF6EC6" w14:textId="77777777" w:rsidR="00F10765" w:rsidRPr="00E22D40" w:rsidRDefault="00F10765" w:rsidP="00F10765">
      <w:pPr>
        <w:jc w:val="both"/>
        <w:rPr>
          <w:lang w:val="es-ES"/>
        </w:rPr>
      </w:pPr>
    </w:p>
    <w:p w14:paraId="64498A01" w14:textId="77777777" w:rsidR="00F10765" w:rsidRDefault="00F10765" w:rsidP="00D24B59">
      <w:pPr>
        <w:pStyle w:val="Heading3"/>
        <w:ind w:left="1418"/>
        <w:rPr>
          <w:rFonts w:ascii="Cambria" w:hAnsi="Cambria" w:cs="Arial"/>
          <w:lang w:val="es-ES_tradnl"/>
        </w:rPr>
      </w:pPr>
      <w:r>
        <w:rPr>
          <w:rFonts w:ascii="Cambria" w:hAnsi="Cambria" w:cs="Arial"/>
          <w:lang w:val="es-ES_tradnl"/>
        </w:rPr>
        <w:t xml:space="preserve">El 18 de diciembre de 2014 se aprobó el </w:t>
      </w:r>
      <w:r w:rsidRPr="00CA71E7">
        <w:rPr>
          <w:rFonts w:ascii="Cambria" w:hAnsi="Cambria" w:cs="Arial"/>
          <w:lang w:val="es-ES_tradnl"/>
        </w:rPr>
        <w:t>Reglamento 8542</w:t>
      </w:r>
      <w:r>
        <w:rPr>
          <w:rFonts w:ascii="Cambria" w:hAnsi="Cambria" w:cs="Arial"/>
          <w:lang w:val="es-ES_tradnl"/>
        </w:rPr>
        <w:t xml:space="preserve"> conocido como el </w:t>
      </w:r>
      <w:r w:rsidRPr="003870AC">
        <w:rPr>
          <w:rFonts w:ascii="Cambria" w:hAnsi="Cambria" w:cs="Arial"/>
          <w:lang w:val="es-ES_tradnl"/>
        </w:rPr>
        <w:t>Reglamento sobre el Comportamiento Ético del Personal de la CEPR y la participación de los Comisionados en Actividades como Representantes de la CEPR</w:t>
      </w:r>
      <w:r>
        <w:rPr>
          <w:rFonts w:ascii="Cambria" w:hAnsi="Cambria" w:cs="Arial"/>
          <w:lang w:val="es-ES_tradnl"/>
        </w:rPr>
        <w:t xml:space="preserve">. </w:t>
      </w:r>
    </w:p>
    <w:p w14:paraId="74402DBD" w14:textId="77777777" w:rsidR="00F10765" w:rsidRPr="003870AC" w:rsidRDefault="00F10765" w:rsidP="00F10765"/>
    <w:p w14:paraId="5D27A2A5" w14:textId="77777777" w:rsidR="00F10765" w:rsidRDefault="00F10765" w:rsidP="00D24B59">
      <w:pPr>
        <w:pStyle w:val="Heading3"/>
        <w:ind w:left="1418"/>
        <w:rPr>
          <w:rFonts w:ascii="Cambria" w:hAnsi="Cambria" w:cs="Arial"/>
          <w:lang w:val="es-ES_tradnl"/>
        </w:rPr>
      </w:pPr>
      <w:r>
        <w:rPr>
          <w:rFonts w:ascii="Cambria" w:hAnsi="Cambria" w:cs="Arial"/>
          <w:lang w:val="es-ES_tradnl"/>
        </w:rPr>
        <w:t xml:space="preserve">El 18 de diciembre de 2014 se aprobó el </w:t>
      </w:r>
      <w:r w:rsidRPr="00CA71E7">
        <w:rPr>
          <w:rFonts w:ascii="Cambria" w:hAnsi="Cambria" w:cs="Arial"/>
          <w:lang w:val="es-ES_tradnl"/>
        </w:rPr>
        <w:t>Reglamento</w:t>
      </w:r>
      <w:r>
        <w:rPr>
          <w:rFonts w:ascii="Cambria" w:hAnsi="Cambria" w:cs="Arial"/>
          <w:lang w:val="es-ES_tradnl"/>
        </w:rPr>
        <w:t xml:space="preserve"> 8543 conocido como el </w:t>
      </w:r>
      <w:r w:rsidRPr="003870AC">
        <w:rPr>
          <w:rFonts w:ascii="Cambria" w:hAnsi="Cambria" w:cs="Arial"/>
          <w:lang w:val="es-ES_tradnl"/>
        </w:rPr>
        <w:t>Reglamento de Procedimientos Adjudicativos, Avisos de Incumplimiento, Revisión de Tarifas e Investigaciones</w:t>
      </w:r>
      <w:r>
        <w:rPr>
          <w:rFonts w:ascii="Cambria" w:hAnsi="Cambria" w:cs="Arial"/>
          <w:lang w:val="es-ES_tradnl"/>
        </w:rPr>
        <w:t>.</w:t>
      </w:r>
    </w:p>
    <w:p w14:paraId="54977EDD" w14:textId="77777777" w:rsidR="00F10765" w:rsidRPr="003870AC" w:rsidRDefault="00F10765" w:rsidP="00F10765"/>
    <w:p w14:paraId="52EAC5D7" w14:textId="77777777" w:rsidR="00F10765" w:rsidRDefault="00F10765" w:rsidP="00D24B59">
      <w:pPr>
        <w:pStyle w:val="Heading3"/>
        <w:ind w:left="1418"/>
        <w:rPr>
          <w:rFonts w:ascii="Cambria" w:hAnsi="Cambria" w:cs="Arial"/>
          <w:lang w:val="es-ES_tradnl"/>
        </w:rPr>
      </w:pPr>
      <w:r>
        <w:t xml:space="preserve">El 5 de febrero de 2015 se aprobó el Reglamento 8558 conocido como el </w:t>
      </w:r>
      <w:r w:rsidRPr="003870AC">
        <w:rPr>
          <w:rFonts w:ascii="Cambria" w:hAnsi="Cambria" w:cs="Arial"/>
          <w:lang w:val="es-ES_tradnl"/>
        </w:rPr>
        <w:t>Reglamento de Procedimientos de Mediación y Arbitraje de la CEPR</w:t>
      </w:r>
      <w:r>
        <w:rPr>
          <w:rFonts w:ascii="Cambria" w:hAnsi="Cambria" w:cs="Arial"/>
          <w:lang w:val="es-ES_tradnl"/>
        </w:rPr>
        <w:t>.</w:t>
      </w:r>
    </w:p>
    <w:p w14:paraId="13B4B5FB" w14:textId="77777777" w:rsidR="00F10765" w:rsidRPr="003870AC" w:rsidRDefault="00F10765" w:rsidP="00F10765"/>
    <w:p w14:paraId="16B60EBD" w14:textId="77777777" w:rsidR="00F10765" w:rsidRPr="00E22D40" w:rsidRDefault="00F10765" w:rsidP="00D24B59">
      <w:pPr>
        <w:pStyle w:val="Heading3"/>
        <w:ind w:left="1418"/>
      </w:pPr>
      <w:r w:rsidRPr="00E22D40">
        <w:t>El 22 de mayo de 2015, la Comisión adoptó el Reglamento Núm. 8594, conocido como el Reglamento sobre el Plan Integrado de Recursos para la</w:t>
      </w:r>
      <w:r>
        <w:t xml:space="preserve"> Autoridad de Energía Eléctrica</w:t>
      </w:r>
      <w:r w:rsidRPr="00E22D40">
        <w:t xml:space="preserve">. </w:t>
      </w:r>
    </w:p>
    <w:p w14:paraId="6160371C" w14:textId="77777777" w:rsidR="00F10765" w:rsidRPr="00E22D40" w:rsidRDefault="00F10765" w:rsidP="00F10765">
      <w:pPr>
        <w:pStyle w:val="Heading3"/>
        <w:numPr>
          <w:ilvl w:val="0"/>
          <w:numId w:val="0"/>
        </w:numPr>
        <w:ind w:left="1800"/>
      </w:pPr>
    </w:p>
    <w:p w14:paraId="432F0DD4" w14:textId="77777777" w:rsidR="00F10765" w:rsidRPr="00E22D40" w:rsidRDefault="00F10765" w:rsidP="00D24B59">
      <w:pPr>
        <w:pStyle w:val="Heading3"/>
        <w:ind w:left="1418"/>
        <w:rPr>
          <w:spacing w:val="-3"/>
        </w:rPr>
      </w:pPr>
      <w:r w:rsidRPr="00E22D40">
        <w:t>El 10 de julio de 2015, la Comisión promulgó el Reglamento Núm. 8618, conocido como el Reglamento sobre Certificaciones, Cargos Anuales y Planes Operacionales de Compañías de Servicio Eléctrico en Puerto Rico</w:t>
      </w:r>
      <w:r>
        <w:t xml:space="preserve">. Este fue anulado por </w:t>
      </w:r>
      <w:r w:rsidRPr="00E22D40">
        <w:rPr>
          <w:spacing w:val="-3"/>
        </w:rPr>
        <w:t>el Reglamento Núm. 8701</w:t>
      </w:r>
      <w:r>
        <w:rPr>
          <w:spacing w:val="-3"/>
        </w:rPr>
        <w:t xml:space="preserve">, aprobado el </w:t>
      </w:r>
      <w:r w:rsidRPr="00E22D40">
        <w:rPr>
          <w:spacing w:val="-3"/>
        </w:rPr>
        <w:t xml:space="preserve">5 de febrero de 2015, </w:t>
      </w:r>
      <w:r>
        <w:rPr>
          <w:spacing w:val="-3"/>
        </w:rPr>
        <w:t>el cual enmendó el Reglamento Núm. 8618</w:t>
      </w:r>
      <w:r w:rsidRPr="00E22D40">
        <w:rPr>
          <w:spacing w:val="-3"/>
        </w:rPr>
        <w:t>.</w:t>
      </w:r>
    </w:p>
    <w:p w14:paraId="7F3263FD" w14:textId="77777777" w:rsidR="00F10765" w:rsidRPr="00E22D40" w:rsidRDefault="00F10765" w:rsidP="00F10765">
      <w:pPr>
        <w:pStyle w:val="Heading3"/>
        <w:numPr>
          <w:ilvl w:val="0"/>
          <w:numId w:val="0"/>
        </w:numPr>
        <w:ind w:left="1800"/>
        <w:rPr>
          <w:spacing w:val="-3"/>
        </w:rPr>
      </w:pPr>
    </w:p>
    <w:p w14:paraId="4B32E947" w14:textId="77777777" w:rsidR="00F10765" w:rsidRPr="00E83AC8" w:rsidRDefault="00F10765" w:rsidP="00D24B59">
      <w:pPr>
        <w:pStyle w:val="Heading3"/>
        <w:ind w:left="1418"/>
      </w:pPr>
      <w:r w:rsidRPr="00E22D40">
        <w:rPr>
          <w:spacing w:val="-3"/>
        </w:rPr>
        <w:t>El 24 de jul</w:t>
      </w:r>
      <w:r>
        <w:rPr>
          <w:spacing w:val="-3"/>
        </w:rPr>
        <w:t xml:space="preserve">io de 2015, la Comisión aprobó </w:t>
      </w:r>
      <w:r w:rsidRPr="00E22D40">
        <w:rPr>
          <w:spacing w:val="-3"/>
        </w:rPr>
        <w:t>el Reglamento Núm. 8620, conocido como el Reglamento sobre los Requisitos de Presentación para la Revisión de Tarifas para la Autoridad de Energía Eléctrica de Puerto Rico.</w:t>
      </w:r>
      <w:r>
        <w:rPr>
          <w:spacing w:val="-3"/>
        </w:rPr>
        <w:t xml:space="preserve">  Posteriormente, el 16 de marzo de 2016, se aprobó el Reglamento Núm. 8720 conocido como </w:t>
      </w:r>
      <w:r w:rsidRPr="00CA71E7">
        <w:rPr>
          <w:rFonts w:ascii="Cambria" w:hAnsi="Cambria" w:cs="Arial"/>
          <w:i/>
          <w:lang w:val="en-US"/>
        </w:rPr>
        <w:t>New Regulation on Rate Filing Requirement for the Puerto Rico Electric Power Authority’s First Rate Case</w:t>
      </w:r>
      <w:r>
        <w:rPr>
          <w:rFonts w:ascii="Cambria" w:hAnsi="Cambria" w:cs="Arial"/>
          <w:lang w:val="en-US"/>
        </w:rPr>
        <w:t xml:space="preserve">, </w:t>
      </w:r>
      <w:r w:rsidRPr="00E83AC8">
        <w:rPr>
          <w:rFonts w:ascii="Cambria" w:hAnsi="Cambria" w:cs="Arial"/>
        </w:rPr>
        <w:t>el cual anuló el mencionado Reglamento Núm. 8620.</w:t>
      </w:r>
      <w:r w:rsidRPr="00E83AC8">
        <w:rPr>
          <w:spacing w:val="-3"/>
        </w:rPr>
        <w:t xml:space="preserve">   </w:t>
      </w:r>
    </w:p>
    <w:p w14:paraId="7B2C391B" w14:textId="77777777" w:rsidR="00F10765" w:rsidRPr="00E22D40" w:rsidRDefault="00F10765" w:rsidP="00F10765">
      <w:pPr>
        <w:pStyle w:val="Heading3"/>
        <w:numPr>
          <w:ilvl w:val="0"/>
          <w:numId w:val="0"/>
        </w:numPr>
        <w:ind w:left="1800"/>
        <w:rPr>
          <w:spacing w:val="-3"/>
        </w:rPr>
      </w:pPr>
    </w:p>
    <w:p w14:paraId="6A97CBB9" w14:textId="33E17649" w:rsidR="00F10765" w:rsidRPr="00E22D40" w:rsidRDefault="00F10765" w:rsidP="00D24B59">
      <w:pPr>
        <w:pStyle w:val="Heading3"/>
        <w:ind w:left="1418"/>
      </w:pPr>
      <w:r>
        <w:rPr>
          <w:spacing w:val="-3"/>
        </w:rPr>
        <w:t xml:space="preserve">El 16 de octubre de 2015 la Comisión aprobó </w:t>
      </w:r>
      <w:r w:rsidRPr="00E22D40">
        <w:rPr>
          <w:spacing w:val="-3"/>
        </w:rPr>
        <w:t xml:space="preserve">el Reglamento Núm. 8653, Reglamento sobre la Contribución en Lugar de Impuestos (CELI). </w:t>
      </w:r>
      <w:r>
        <w:rPr>
          <w:spacing w:val="-3"/>
        </w:rPr>
        <w:t>Luego</w:t>
      </w:r>
      <w:r w:rsidRPr="00CF357F">
        <w:t xml:space="preserve"> </w:t>
      </w:r>
      <w:r>
        <w:t>la Comisión aprobó una enmienda al Reglamento Núm. 8653 el 21 de septiembre de 2016</w:t>
      </w:r>
      <w:r w:rsidR="008343A6">
        <w:t xml:space="preserve"> la cual se</w:t>
      </w:r>
      <w:r>
        <w:t xml:space="preserve"> encuentra en espera de numeración de parte del Departamento de Estado.</w:t>
      </w:r>
    </w:p>
    <w:p w14:paraId="5C6F6F6B" w14:textId="77777777" w:rsidR="00F10765" w:rsidRPr="003870AC" w:rsidRDefault="00F10765" w:rsidP="00F10765">
      <w:pPr>
        <w:jc w:val="both"/>
        <w:rPr>
          <w:lang w:val="es-ES"/>
        </w:rPr>
      </w:pPr>
    </w:p>
    <w:p w14:paraId="3A123556" w14:textId="77777777" w:rsidR="00F10765" w:rsidRPr="003870AC" w:rsidRDefault="00F10765" w:rsidP="00D24B59">
      <w:pPr>
        <w:pStyle w:val="Heading3"/>
        <w:ind w:left="1418"/>
      </w:pPr>
      <w:r w:rsidRPr="003870AC">
        <w:rPr>
          <w:spacing w:val="-3"/>
        </w:rPr>
        <w:t xml:space="preserve">El Reglamento 8815 conocido como </w:t>
      </w:r>
      <w:proofErr w:type="spellStart"/>
      <w:r w:rsidRPr="00CA71E7">
        <w:rPr>
          <w:rFonts w:ascii="Cambria" w:hAnsi="Cambria" w:cs="Arial"/>
          <w:i/>
          <w:lang w:val="es-ES_tradnl"/>
        </w:rPr>
        <w:t>Joint</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Regulation</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for</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the</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Procurement</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Evaluation</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Selection</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Negotiation</w:t>
      </w:r>
      <w:proofErr w:type="spellEnd"/>
      <w:r w:rsidRPr="00CA71E7">
        <w:rPr>
          <w:rFonts w:ascii="Cambria" w:hAnsi="Cambria" w:cs="Arial"/>
          <w:i/>
          <w:lang w:val="es-ES_tradnl"/>
        </w:rPr>
        <w:t xml:space="preserve"> and </w:t>
      </w:r>
      <w:proofErr w:type="spellStart"/>
      <w:r w:rsidRPr="00CA71E7">
        <w:rPr>
          <w:rFonts w:ascii="Cambria" w:hAnsi="Cambria" w:cs="Arial"/>
          <w:i/>
          <w:lang w:val="es-ES_tradnl"/>
        </w:rPr>
        <w:t>Award</w:t>
      </w:r>
      <w:proofErr w:type="spellEnd"/>
      <w:r w:rsidRPr="00CA71E7">
        <w:rPr>
          <w:rFonts w:ascii="Cambria" w:hAnsi="Cambria" w:cs="Arial"/>
          <w:i/>
          <w:lang w:val="es-ES_tradnl"/>
        </w:rPr>
        <w:t xml:space="preserve"> of </w:t>
      </w:r>
      <w:proofErr w:type="spellStart"/>
      <w:r w:rsidRPr="00CA71E7">
        <w:rPr>
          <w:rFonts w:ascii="Cambria" w:hAnsi="Cambria" w:cs="Arial"/>
          <w:i/>
          <w:lang w:val="es-ES_tradnl"/>
        </w:rPr>
        <w:t>Contracts</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for</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the</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Purchase</w:t>
      </w:r>
      <w:proofErr w:type="spellEnd"/>
      <w:r w:rsidRPr="00CA71E7">
        <w:rPr>
          <w:rFonts w:ascii="Cambria" w:hAnsi="Cambria" w:cs="Arial"/>
          <w:i/>
          <w:lang w:val="es-ES_tradnl"/>
        </w:rPr>
        <w:t xml:space="preserve"> of </w:t>
      </w:r>
      <w:proofErr w:type="spellStart"/>
      <w:r w:rsidRPr="00CA71E7">
        <w:rPr>
          <w:rFonts w:ascii="Cambria" w:hAnsi="Cambria" w:cs="Arial"/>
          <w:i/>
          <w:lang w:val="es-ES_tradnl"/>
        </w:rPr>
        <w:t>Energy</w:t>
      </w:r>
      <w:proofErr w:type="spellEnd"/>
      <w:r w:rsidRPr="00CA71E7">
        <w:rPr>
          <w:rFonts w:ascii="Cambria" w:hAnsi="Cambria" w:cs="Arial"/>
          <w:i/>
          <w:lang w:val="es-ES_tradnl"/>
        </w:rPr>
        <w:t xml:space="preserve"> and </w:t>
      </w:r>
      <w:proofErr w:type="spellStart"/>
      <w:r w:rsidRPr="00CA71E7">
        <w:rPr>
          <w:rFonts w:ascii="Cambria" w:hAnsi="Cambria" w:cs="Arial"/>
          <w:i/>
          <w:lang w:val="es-ES_tradnl"/>
        </w:rPr>
        <w:t>for</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the</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Procurement</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Evaluation</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Selection</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Negotiation</w:t>
      </w:r>
      <w:proofErr w:type="spellEnd"/>
      <w:r w:rsidRPr="00CA71E7">
        <w:rPr>
          <w:rFonts w:ascii="Cambria" w:hAnsi="Cambria" w:cs="Arial"/>
          <w:i/>
          <w:lang w:val="es-ES_tradnl"/>
        </w:rPr>
        <w:t xml:space="preserve"> and </w:t>
      </w:r>
      <w:proofErr w:type="spellStart"/>
      <w:r w:rsidRPr="00CA71E7">
        <w:rPr>
          <w:rFonts w:ascii="Cambria" w:hAnsi="Cambria" w:cs="Arial"/>
          <w:i/>
          <w:lang w:val="es-ES_tradnl"/>
        </w:rPr>
        <w:t>Award</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Process</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for</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the</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Modernization</w:t>
      </w:r>
      <w:proofErr w:type="spellEnd"/>
      <w:r w:rsidRPr="00CA71E7">
        <w:rPr>
          <w:rFonts w:ascii="Cambria" w:hAnsi="Cambria" w:cs="Arial"/>
          <w:i/>
          <w:lang w:val="es-ES_tradnl"/>
        </w:rPr>
        <w:t xml:space="preserve"> of </w:t>
      </w:r>
      <w:proofErr w:type="spellStart"/>
      <w:r w:rsidRPr="00CA71E7">
        <w:rPr>
          <w:rFonts w:ascii="Cambria" w:hAnsi="Cambria" w:cs="Arial"/>
          <w:i/>
          <w:lang w:val="es-ES_tradnl"/>
        </w:rPr>
        <w:t>the</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Generation</w:t>
      </w:r>
      <w:proofErr w:type="spellEnd"/>
      <w:r w:rsidRPr="00CA71E7">
        <w:rPr>
          <w:rFonts w:ascii="Cambria" w:hAnsi="Cambria" w:cs="Arial"/>
          <w:i/>
          <w:lang w:val="es-ES_tradnl"/>
        </w:rPr>
        <w:t xml:space="preserve"> </w:t>
      </w:r>
      <w:proofErr w:type="spellStart"/>
      <w:r w:rsidRPr="00CA71E7">
        <w:rPr>
          <w:rFonts w:ascii="Cambria" w:hAnsi="Cambria" w:cs="Arial"/>
          <w:i/>
          <w:lang w:val="es-ES_tradnl"/>
        </w:rPr>
        <w:t>Fleet</w:t>
      </w:r>
      <w:proofErr w:type="spellEnd"/>
      <w:r w:rsidRPr="00CA71E7">
        <w:rPr>
          <w:rFonts w:ascii="Cambria" w:hAnsi="Cambria" w:cs="Arial"/>
          <w:lang w:val="es-ES_tradnl"/>
        </w:rPr>
        <w:t xml:space="preserve"> fue elaborado en conjunto con la AEE, y aprobado por la Comisión el 1 de septiembre de 2016</w:t>
      </w:r>
      <w:r>
        <w:rPr>
          <w:rFonts w:ascii="Cambria" w:hAnsi="Cambria" w:cs="Arial"/>
          <w:lang w:val="es-ES_tradnl"/>
        </w:rPr>
        <w:t>.</w:t>
      </w:r>
    </w:p>
    <w:p w14:paraId="6794F96F" w14:textId="77777777" w:rsidR="00F10765" w:rsidRPr="00E22D40" w:rsidRDefault="00F10765" w:rsidP="00F10765">
      <w:pPr>
        <w:rPr>
          <w:spacing w:val="-3"/>
          <w:lang w:val="es-ES"/>
        </w:rPr>
      </w:pPr>
    </w:p>
    <w:p w14:paraId="59320551" w14:textId="77777777" w:rsidR="00F10765" w:rsidRPr="00E22D40" w:rsidRDefault="00F10765" w:rsidP="00D24B59">
      <w:pPr>
        <w:pStyle w:val="Heading2"/>
        <w:ind w:left="851"/>
      </w:pPr>
      <w:r>
        <w:t>Temas de gran relevancia ante la Comisión</w:t>
      </w:r>
    </w:p>
    <w:p w14:paraId="6F02E723" w14:textId="77777777" w:rsidR="00F10765" w:rsidRDefault="00F10765" w:rsidP="00F10765">
      <w:pPr>
        <w:rPr>
          <w:highlight w:val="yellow"/>
          <w:lang w:val="es-ES"/>
        </w:rPr>
      </w:pPr>
    </w:p>
    <w:p w14:paraId="5D6A2D70" w14:textId="77777777" w:rsidR="00F10765" w:rsidRPr="00615F57" w:rsidRDefault="00F10765" w:rsidP="00D24B59">
      <w:pPr>
        <w:ind w:left="851"/>
        <w:jc w:val="both"/>
        <w:rPr>
          <w:lang w:val="es-ES"/>
        </w:rPr>
      </w:pPr>
      <w:r w:rsidRPr="00615F57">
        <w:rPr>
          <w:lang w:val="es-ES"/>
        </w:rPr>
        <w:t xml:space="preserve">La Comisión ha tenido ante su consideración asuntos de gran </w:t>
      </w:r>
      <w:r>
        <w:rPr>
          <w:lang w:val="es-ES"/>
        </w:rPr>
        <w:t>relevancia</w:t>
      </w:r>
      <w:r w:rsidRPr="00615F57">
        <w:rPr>
          <w:lang w:val="es-ES"/>
        </w:rPr>
        <w:t xml:space="preserve"> para la implementación de la política pública energética del país. A continuación, algunos de los temas ante la Comisión:</w:t>
      </w:r>
    </w:p>
    <w:p w14:paraId="4D5E081D" w14:textId="77777777" w:rsidR="00F10765" w:rsidRPr="00E22D40" w:rsidRDefault="00F10765" w:rsidP="00F10765">
      <w:pPr>
        <w:ind w:left="1077"/>
        <w:jc w:val="both"/>
        <w:rPr>
          <w:highlight w:val="yellow"/>
          <w:lang w:val="es-ES"/>
        </w:rPr>
      </w:pPr>
    </w:p>
    <w:p w14:paraId="2B6A25FD" w14:textId="77777777" w:rsidR="00F10765" w:rsidRDefault="00F10765" w:rsidP="00D24B59">
      <w:pPr>
        <w:pStyle w:val="Heading3"/>
        <w:ind w:left="1418"/>
      </w:pPr>
      <w:r>
        <w:t>D</w:t>
      </w:r>
      <w:r w:rsidRPr="00E22D40">
        <w:t>efinición para el concepto de “generación fósil altamente eficiente”</w:t>
      </w:r>
      <w:r>
        <w:t>.</w:t>
      </w:r>
      <w:r w:rsidRPr="00E22D40">
        <w:t xml:space="preserve"> </w:t>
      </w:r>
    </w:p>
    <w:p w14:paraId="22403281" w14:textId="77777777" w:rsidR="00F10765" w:rsidRPr="00615F57" w:rsidRDefault="00F10765" w:rsidP="00F10765">
      <w:pPr>
        <w:rPr>
          <w:lang w:val="es-ES"/>
        </w:rPr>
      </w:pPr>
    </w:p>
    <w:p w14:paraId="13DE3F4E" w14:textId="77777777" w:rsidR="00F10765" w:rsidRDefault="00F10765" w:rsidP="00D24B59">
      <w:pPr>
        <w:pStyle w:val="Heading3"/>
        <w:ind w:left="1418"/>
      </w:pPr>
      <w:r>
        <w:t xml:space="preserve">Proceso de evaluación y aprobación del Plan Integrado de Recursos de la AEE. </w:t>
      </w:r>
    </w:p>
    <w:p w14:paraId="502F4EE7" w14:textId="77777777" w:rsidR="00F10765" w:rsidRPr="00615F57" w:rsidRDefault="00F10765" w:rsidP="00F10765">
      <w:pPr>
        <w:rPr>
          <w:lang w:val="es-ES"/>
        </w:rPr>
      </w:pPr>
    </w:p>
    <w:p w14:paraId="41F2DD44" w14:textId="77777777" w:rsidR="00F10765" w:rsidRDefault="00F10765" w:rsidP="00D24B59">
      <w:pPr>
        <w:pStyle w:val="Heading3"/>
        <w:ind w:left="1418"/>
      </w:pPr>
      <w:r>
        <w:t xml:space="preserve">Evaluación de la Petición del Cargo de Transición y aprobación de la Orden de Reestructuración. </w:t>
      </w:r>
    </w:p>
    <w:p w14:paraId="1D1F6261" w14:textId="77777777" w:rsidR="00F10765" w:rsidRPr="00615F57" w:rsidRDefault="00F10765" w:rsidP="00F10765">
      <w:pPr>
        <w:rPr>
          <w:lang w:val="es-ES"/>
        </w:rPr>
      </w:pPr>
    </w:p>
    <w:p w14:paraId="580DF38F" w14:textId="77777777" w:rsidR="00F10765" w:rsidRDefault="00F10765" w:rsidP="00D24B59">
      <w:pPr>
        <w:pStyle w:val="Heading3"/>
        <w:ind w:left="1418"/>
      </w:pPr>
      <w:r>
        <w:t xml:space="preserve">Proceso de evaluación de la Petición de Revisión de Tarifas de la AEE. </w:t>
      </w:r>
    </w:p>
    <w:p w14:paraId="4DA57D76" w14:textId="77777777" w:rsidR="00F10765" w:rsidRPr="001D6640" w:rsidRDefault="00F10765" w:rsidP="00F10765">
      <w:pPr>
        <w:rPr>
          <w:lang w:val="es-ES"/>
        </w:rPr>
      </w:pPr>
      <w:bookmarkStart w:id="8" w:name="_Toc444174856"/>
      <w:bookmarkStart w:id="9" w:name="_Toc444616953"/>
    </w:p>
    <w:p w14:paraId="60CB033D" w14:textId="77777777" w:rsidR="00F10765" w:rsidRPr="00E22D40" w:rsidRDefault="00F10765" w:rsidP="00D24B59">
      <w:pPr>
        <w:pStyle w:val="Heading2"/>
        <w:ind w:left="851"/>
      </w:pPr>
      <w:r w:rsidRPr="00E22D40">
        <w:t xml:space="preserve">Transparencia y </w:t>
      </w:r>
      <w:r w:rsidRPr="00750132">
        <w:t>Rendición</w:t>
      </w:r>
      <w:r w:rsidRPr="00E22D40">
        <w:t xml:space="preserve"> de Cuentas</w:t>
      </w:r>
      <w:bookmarkEnd w:id="8"/>
      <w:bookmarkEnd w:id="9"/>
    </w:p>
    <w:p w14:paraId="67482029" w14:textId="77777777" w:rsidR="00F10765" w:rsidRPr="00E22D40" w:rsidRDefault="00F10765" w:rsidP="00F10765">
      <w:pPr>
        <w:rPr>
          <w:lang w:val="es-ES"/>
        </w:rPr>
      </w:pPr>
    </w:p>
    <w:p w14:paraId="5506BF67" w14:textId="77777777" w:rsidR="00F10765" w:rsidRDefault="00F10765" w:rsidP="008343A6">
      <w:pPr>
        <w:pStyle w:val="Heading3"/>
        <w:numPr>
          <w:ilvl w:val="0"/>
          <w:numId w:val="0"/>
        </w:numPr>
        <w:ind w:left="851"/>
        <w:rPr>
          <w:spacing w:val="-3"/>
        </w:rPr>
      </w:pPr>
      <w:r w:rsidRPr="00E22D40">
        <w:t>Según requiere el Art. 6.3, incisos (</w:t>
      </w:r>
      <w:proofErr w:type="spellStart"/>
      <w:r w:rsidRPr="00E22D40">
        <w:t>dd</w:t>
      </w:r>
      <w:proofErr w:type="spellEnd"/>
      <w:r w:rsidRPr="00E22D40">
        <w:t>) y (</w:t>
      </w:r>
      <w:proofErr w:type="spellStart"/>
      <w:r w:rsidRPr="00E22D40">
        <w:t>ee</w:t>
      </w:r>
      <w:proofErr w:type="spellEnd"/>
      <w:r w:rsidRPr="00E22D40">
        <w:t xml:space="preserve">), de la Ley 57-2014, según enmendada, la Comisión creó y está en proceso continuo de desarrollar el portal de Internet </w:t>
      </w:r>
      <w:hyperlink r:id="rId8" w:history="1">
        <w:r w:rsidRPr="00E22D40">
          <w:rPr>
            <w:rStyle w:val="Hyperlink"/>
          </w:rPr>
          <w:t>www.energia.pr.gov</w:t>
        </w:r>
      </w:hyperlink>
      <w:r w:rsidRPr="00E22D40">
        <w:t xml:space="preserve">. En este portal </w:t>
      </w:r>
      <w:r w:rsidRPr="00E22D40">
        <w:rPr>
          <w:spacing w:val="-3"/>
        </w:rPr>
        <w:t>están publicadas</w:t>
      </w:r>
      <w:r>
        <w:rPr>
          <w:spacing w:val="-3"/>
        </w:rPr>
        <w:t>,</w:t>
      </w:r>
      <w:r w:rsidRPr="00E22D40">
        <w:rPr>
          <w:spacing w:val="-3"/>
        </w:rPr>
        <w:t xml:space="preserve"> de manera ordenada</w:t>
      </w:r>
      <w:r>
        <w:rPr>
          <w:spacing w:val="-3"/>
        </w:rPr>
        <w:t>,</w:t>
      </w:r>
      <w:r w:rsidRPr="00E22D40">
        <w:rPr>
          <w:spacing w:val="-3"/>
        </w:rPr>
        <w:t xml:space="preserve"> todas las determinaciones que ha emitido la Comisión hasta el momento. En la misma página, se han colgado también los reglamentos aprobados, las actas y agendas de las reuniones del Pleno de la Comisión y otra información de interés para el público. </w:t>
      </w:r>
    </w:p>
    <w:p w14:paraId="7EE9AB94" w14:textId="77777777" w:rsidR="00F10765" w:rsidRPr="007C3E72" w:rsidRDefault="00F10765" w:rsidP="00F10765"/>
    <w:p w14:paraId="656852CF" w14:textId="10EFD964" w:rsidR="00F10765" w:rsidRDefault="00F10765" w:rsidP="008343A6">
      <w:pPr>
        <w:pStyle w:val="Heading3"/>
        <w:numPr>
          <w:ilvl w:val="0"/>
          <w:numId w:val="0"/>
        </w:numPr>
        <w:ind w:left="851"/>
      </w:pPr>
      <w:r w:rsidRPr="00EF0F46">
        <w:t>Como parte de los esfuerzos educativos de la CEPR, en dicho portal se transmiten l</w:t>
      </w:r>
      <w:r>
        <w:t>as reuniones públicas mensuales</w:t>
      </w:r>
      <w:r w:rsidRPr="00EF0F46">
        <w:t xml:space="preserve"> y</w:t>
      </w:r>
      <w:r w:rsidR="00BB0242">
        <w:t>,</w:t>
      </w:r>
      <w:r w:rsidRPr="00EF0F46">
        <w:t xml:space="preserve"> además, publica los avisos, comunicados, presentaciones, publicaciones, y cuenta con una sección de datos y estadísticas con información importante relacionada al comportamiento del consumo y generación de energía eléctrica en Puerto Rico.  </w:t>
      </w:r>
    </w:p>
    <w:p w14:paraId="6E3DCDC0" w14:textId="77777777" w:rsidR="00F10765" w:rsidRPr="006327F0" w:rsidRDefault="00F10765" w:rsidP="00F10765"/>
    <w:p w14:paraId="540B36EF" w14:textId="77777777" w:rsidR="00F10765" w:rsidRPr="00CA71E7" w:rsidRDefault="00F10765" w:rsidP="00F10765">
      <w:pPr>
        <w:spacing w:after="120"/>
        <w:jc w:val="both"/>
        <w:rPr>
          <w:rFonts w:ascii="Cambria" w:eastAsia="Times New Roman" w:hAnsi="Cambria" w:cs="Arial"/>
          <w:color w:val="000000"/>
          <w:spacing w:val="-3"/>
        </w:rPr>
      </w:pPr>
      <w:r w:rsidRPr="00CA71E7">
        <w:rPr>
          <w:rFonts w:ascii="Cambria" w:eastAsia="Times New Roman" w:hAnsi="Cambria" w:cs="Arial"/>
          <w:color w:val="000000"/>
          <w:spacing w:val="-3"/>
        </w:rPr>
        <w:t>Agradecemos la oportunidad de poder dirigirnos ante este Comité de Transición y nos encontramos en la mejor disposición de contestar cualquier pregunta que entiendan pertinente.</w:t>
      </w:r>
    </w:p>
    <w:p w14:paraId="4D475626" w14:textId="77777777" w:rsidR="00F10765" w:rsidRPr="00CA71E7" w:rsidRDefault="00F10765" w:rsidP="00F10765">
      <w:pPr>
        <w:spacing w:after="120"/>
        <w:jc w:val="both"/>
        <w:rPr>
          <w:rFonts w:ascii="Cambria" w:eastAsia="Times New Roman" w:hAnsi="Cambria" w:cs="Arial"/>
          <w:color w:val="000000"/>
          <w:spacing w:val="-3"/>
        </w:rPr>
      </w:pPr>
    </w:p>
    <w:p w14:paraId="44C0DC27" w14:textId="77777777" w:rsidR="00F10765" w:rsidRPr="00CA71E7" w:rsidRDefault="00F10765" w:rsidP="00F10765">
      <w:pPr>
        <w:spacing w:after="120"/>
        <w:jc w:val="both"/>
        <w:rPr>
          <w:rFonts w:ascii="Cambria" w:eastAsia="Times New Roman" w:hAnsi="Cambria" w:cs="Arial"/>
          <w:color w:val="000000"/>
          <w:spacing w:val="-3"/>
        </w:rPr>
      </w:pPr>
      <w:r w:rsidRPr="00CA71E7">
        <w:rPr>
          <w:rFonts w:ascii="Cambria" w:eastAsia="Times New Roman" w:hAnsi="Cambria" w:cs="Arial"/>
          <w:color w:val="000000"/>
          <w:spacing w:val="-3"/>
        </w:rPr>
        <w:t>Cordialmente,</w:t>
      </w:r>
    </w:p>
    <w:p w14:paraId="35CA90AC" w14:textId="77777777" w:rsidR="00F10765" w:rsidRPr="00CA71E7" w:rsidRDefault="00F10765" w:rsidP="00F10765">
      <w:pPr>
        <w:spacing w:after="120"/>
        <w:jc w:val="both"/>
        <w:rPr>
          <w:rFonts w:ascii="Cambria" w:eastAsia="Times New Roman" w:hAnsi="Cambria" w:cs="Arial"/>
          <w:color w:val="000000"/>
          <w:spacing w:val="-3"/>
        </w:rPr>
      </w:pPr>
    </w:p>
    <w:p w14:paraId="371CDB6B" w14:textId="77777777" w:rsidR="00F10765" w:rsidRPr="00CA71E7" w:rsidRDefault="00F10765" w:rsidP="00F10765">
      <w:pPr>
        <w:spacing w:after="120"/>
        <w:jc w:val="both"/>
        <w:rPr>
          <w:rFonts w:ascii="Cambria" w:eastAsia="Times New Roman" w:hAnsi="Cambria" w:cs="Arial"/>
          <w:color w:val="000000"/>
          <w:spacing w:val="-3"/>
        </w:rPr>
      </w:pPr>
    </w:p>
    <w:p w14:paraId="3EF97AB2" w14:textId="36EA4AED" w:rsidR="00EC2378" w:rsidRDefault="00F10765" w:rsidP="008343A6">
      <w:pPr>
        <w:spacing w:after="120"/>
        <w:jc w:val="both"/>
      </w:pPr>
      <w:r w:rsidRPr="00CA71E7">
        <w:rPr>
          <w:rFonts w:ascii="Cambria" w:eastAsia="Times New Roman" w:hAnsi="Cambria" w:cs="Arial"/>
          <w:color w:val="000000"/>
          <w:spacing w:val="-3"/>
        </w:rPr>
        <w:t xml:space="preserve">Agustín F. </w:t>
      </w:r>
      <w:proofErr w:type="spellStart"/>
      <w:r w:rsidRPr="00CA71E7">
        <w:rPr>
          <w:rFonts w:ascii="Cambria" w:eastAsia="Times New Roman" w:hAnsi="Cambria" w:cs="Arial"/>
          <w:color w:val="000000"/>
          <w:spacing w:val="-3"/>
        </w:rPr>
        <w:t>Carbó</w:t>
      </w:r>
      <w:proofErr w:type="spellEnd"/>
      <w:r w:rsidRPr="00CA71E7">
        <w:rPr>
          <w:rFonts w:ascii="Cambria" w:eastAsia="Times New Roman" w:hAnsi="Cambria" w:cs="Arial"/>
          <w:color w:val="000000"/>
          <w:spacing w:val="-3"/>
        </w:rPr>
        <w:t xml:space="preserve"> Lugo</w:t>
      </w:r>
    </w:p>
    <w:sectPr w:rsidR="00EC2378" w:rsidSect="0064168D">
      <w:headerReference w:type="even" r:id="rId9"/>
      <w:footerReference w:type="even" r:id="rId10"/>
      <w:footerReference w:type="default" r:id="rId11"/>
      <w:headerReference w:type="first" r:id="rId12"/>
      <w:footerReference w:type="first" r:id="rId13"/>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DF01A" w14:textId="77777777" w:rsidR="00DC180B" w:rsidRDefault="00DC180B" w:rsidP="00F87886">
      <w:r>
        <w:separator/>
      </w:r>
    </w:p>
  </w:endnote>
  <w:endnote w:type="continuationSeparator" w:id="0">
    <w:p w14:paraId="21B787A1" w14:textId="77777777" w:rsidR="00DC180B" w:rsidRDefault="00DC180B" w:rsidP="00F8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9E67" w14:textId="77777777" w:rsidR="00EC2378" w:rsidRDefault="00EC2378" w:rsidP="009D51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1B746A" w14:textId="77777777" w:rsidR="00F87886" w:rsidRDefault="00DC180B">
    <w:pPr>
      <w:pStyle w:val="Footer"/>
    </w:pPr>
    <w:sdt>
      <w:sdtPr>
        <w:id w:val="969400743"/>
        <w:temporary/>
        <w:showingPlcHdr/>
      </w:sdtPr>
      <w:sdtEndPr/>
      <w:sdtContent>
        <w:r w:rsidR="00F87886">
          <w:rPr>
            <w:lang w:val="es-ES"/>
          </w:rPr>
          <w:t>[Escriba texto]</w:t>
        </w:r>
      </w:sdtContent>
    </w:sdt>
    <w:r w:rsidR="00F87886">
      <w:ptab w:relativeTo="margin" w:alignment="center" w:leader="none"/>
    </w:r>
    <w:sdt>
      <w:sdtPr>
        <w:id w:val="969400748"/>
        <w:temporary/>
        <w:showingPlcHdr/>
      </w:sdtPr>
      <w:sdtEndPr/>
      <w:sdtContent>
        <w:r w:rsidR="00F87886">
          <w:rPr>
            <w:lang w:val="es-ES"/>
          </w:rPr>
          <w:t>[Escriba texto]</w:t>
        </w:r>
      </w:sdtContent>
    </w:sdt>
    <w:r w:rsidR="00F87886">
      <w:ptab w:relativeTo="margin" w:alignment="right" w:leader="none"/>
    </w:r>
    <w:sdt>
      <w:sdtPr>
        <w:id w:val="969400753"/>
        <w:temporary/>
        <w:showingPlcHdr/>
      </w:sdtPr>
      <w:sdtEndPr/>
      <w:sdtContent>
        <w:r w:rsidR="00F87886">
          <w:rPr>
            <w:lang w:val="es-ES"/>
          </w:rPr>
          <w:t>[Escriba texto]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4B136" w14:textId="77777777" w:rsidR="00EC2378" w:rsidRDefault="00EC2378" w:rsidP="009D51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FF2">
      <w:rPr>
        <w:rStyle w:val="PageNumber"/>
        <w:noProof/>
      </w:rPr>
      <w:t>2</w:t>
    </w:r>
    <w:r>
      <w:rPr>
        <w:rStyle w:val="PageNumber"/>
      </w:rPr>
      <w:fldChar w:fldCharType="end"/>
    </w:r>
  </w:p>
  <w:p w14:paraId="068D890B" w14:textId="407D8D2B" w:rsidR="00F87886" w:rsidRDefault="00F878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49F0" w14:textId="179053AB" w:rsidR="0064168D" w:rsidRDefault="0064168D">
    <w:pPr>
      <w:pStyle w:val="Footer"/>
    </w:pPr>
    <w:r>
      <w:rPr>
        <w:noProof/>
        <w:lang w:val="en-US" w:eastAsia="en-US"/>
      </w:rPr>
      <w:drawing>
        <wp:anchor distT="0" distB="0" distL="114300" distR="114300" simplePos="0" relativeHeight="251663360" behindDoc="1" locked="0" layoutInCell="1" allowOverlap="1" wp14:anchorId="16E6847D" wp14:editId="402165BA">
          <wp:simplePos x="0" y="0"/>
          <wp:positionH relativeFrom="margin">
            <wp:posOffset>-1080135</wp:posOffset>
          </wp:positionH>
          <wp:positionV relativeFrom="paragraph">
            <wp:posOffset>-47791</wp:posOffset>
          </wp:positionV>
          <wp:extent cx="7772400" cy="969264"/>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692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31A3F" w14:textId="77777777" w:rsidR="00DC180B" w:rsidRDefault="00DC180B" w:rsidP="00F87886">
      <w:r>
        <w:separator/>
      </w:r>
    </w:p>
  </w:footnote>
  <w:footnote w:type="continuationSeparator" w:id="0">
    <w:p w14:paraId="3C8A82E0" w14:textId="77777777" w:rsidR="00DC180B" w:rsidRDefault="00DC180B" w:rsidP="00F87886">
      <w:r>
        <w:continuationSeparator/>
      </w:r>
    </w:p>
  </w:footnote>
  <w:footnote w:id="1">
    <w:p w14:paraId="372A1D8C" w14:textId="77777777" w:rsidR="00F10765" w:rsidRPr="00C94F36" w:rsidRDefault="00F10765" w:rsidP="00F10765">
      <w:pPr>
        <w:pStyle w:val="FootnoteText"/>
        <w:rPr>
          <w:rFonts w:ascii="Cambria" w:hAnsi="Cambria" w:cs="Arial"/>
          <w:sz w:val="20"/>
          <w:szCs w:val="20"/>
        </w:rPr>
      </w:pPr>
      <w:r w:rsidRPr="00C94F36">
        <w:rPr>
          <w:rStyle w:val="FootnoteReference"/>
          <w:rFonts w:ascii="Cambria" w:hAnsi="Cambria" w:cs="Arial"/>
          <w:sz w:val="20"/>
          <w:szCs w:val="20"/>
        </w:rPr>
        <w:footnoteRef/>
      </w:r>
      <w:r w:rsidRPr="00C94F36">
        <w:rPr>
          <w:rFonts w:ascii="Cambria" w:hAnsi="Cambria" w:cs="Arial"/>
          <w:sz w:val="20"/>
          <w:szCs w:val="20"/>
        </w:rPr>
        <w:t xml:space="preserve"> Véase Anejo 1.</w:t>
      </w:r>
    </w:p>
  </w:footnote>
  <w:footnote w:id="2">
    <w:p w14:paraId="65BC5CA6" w14:textId="77777777" w:rsidR="00F10765" w:rsidRPr="00C94F36" w:rsidRDefault="00F10765" w:rsidP="00F10765">
      <w:pPr>
        <w:pStyle w:val="FootnoteText"/>
        <w:rPr>
          <w:rFonts w:ascii="Cambria" w:hAnsi="Cambria" w:cs="Arial"/>
          <w:sz w:val="20"/>
          <w:szCs w:val="20"/>
        </w:rPr>
      </w:pPr>
      <w:r w:rsidRPr="00C94F36">
        <w:rPr>
          <w:rStyle w:val="FootnoteReference"/>
          <w:rFonts w:ascii="Cambria" w:hAnsi="Cambria" w:cs="Arial"/>
          <w:sz w:val="20"/>
          <w:szCs w:val="20"/>
        </w:rPr>
        <w:footnoteRef/>
      </w:r>
      <w:r w:rsidRPr="00C94F36">
        <w:rPr>
          <w:rFonts w:ascii="Cambria" w:hAnsi="Cambria" w:cs="Arial"/>
          <w:sz w:val="20"/>
          <w:szCs w:val="20"/>
        </w:rPr>
        <w:t xml:space="preserve"> Véase Anejo 2.</w:t>
      </w:r>
    </w:p>
  </w:footnote>
  <w:footnote w:id="3">
    <w:p w14:paraId="063B2F83" w14:textId="77777777" w:rsidR="00F10765" w:rsidRPr="00C94F36" w:rsidRDefault="00F10765" w:rsidP="00F10765">
      <w:pPr>
        <w:pStyle w:val="FootnoteText"/>
        <w:rPr>
          <w:rFonts w:ascii="Cambria" w:hAnsi="Cambria"/>
          <w:sz w:val="20"/>
          <w:szCs w:val="20"/>
        </w:rPr>
      </w:pPr>
      <w:r w:rsidRPr="00C94F36">
        <w:rPr>
          <w:rStyle w:val="FootnoteReference"/>
          <w:rFonts w:ascii="Cambria" w:hAnsi="Cambria" w:cs="Arial"/>
          <w:sz w:val="20"/>
          <w:szCs w:val="20"/>
        </w:rPr>
        <w:footnoteRef/>
      </w:r>
      <w:r w:rsidRPr="00C94F36">
        <w:rPr>
          <w:rFonts w:ascii="Cambria" w:hAnsi="Cambria" w:cs="Arial"/>
          <w:sz w:val="20"/>
          <w:szCs w:val="20"/>
        </w:rPr>
        <w:t xml:space="preserve"> Véase Anejo 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09C0" w14:textId="77777777" w:rsidR="00F87886" w:rsidRDefault="00DC180B">
    <w:pPr>
      <w:pStyle w:val="Header"/>
    </w:pPr>
    <w:sdt>
      <w:sdtPr>
        <w:id w:val="171999623"/>
        <w:placeholder>
          <w:docPart w:val="AD4917549ACAED46827D8270679D7836"/>
        </w:placeholder>
        <w:temporary/>
        <w:showingPlcHdr/>
      </w:sdtPr>
      <w:sdtEndPr/>
      <w:sdtContent>
        <w:r w:rsidR="00F87886">
          <w:rPr>
            <w:lang w:val="es-ES"/>
          </w:rPr>
          <w:t>[Escriba texto]</w:t>
        </w:r>
      </w:sdtContent>
    </w:sdt>
    <w:r w:rsidR="00F87886">
      <w:ptab w:relativeTo="margin" w:alignment="center" w:leader="none"/>
    </w:r>
    <w:sdt>
      <w:sdtPr>
        <w:id w:val="171999624"/>
        <w:placeholder>
          <w:docPart w:val="AC47C1ABFC9F7A45A32754B899FDA036"/>
        </w:placeholder>
        <w:temporary/>
        <w:showingPlcHdr/>
      </w:sdtPr>
      <w:sdtEndPr/>
      <w:sdtContent>
        <w:r w:rsidR="00F87886">
          <w:rPr>
            <w:lang w:val="es-ES"/>
          </w:rPr>
          <w:t>[Escriba texto]</w:t>
        </w:r>
      </w:sdtContent>
    </w:sdt>
    <w:r w:rsidR="00F87886">
      <w:ptab w:relativeTo="margin" w:alignment="right" w:leader="none"/>
    </w:r>
    <w:sdt>
      <w:sdtPr>
        <w:id w:val="171999625"/>
        <w:placeholder>
          <w:docPart w:val="53570890E11EE349B1AC958C76563D90"/>
        </w:placeholder>
        <w:temporary/>
        <w:showingPlcHdr/>
      </w:sdtPr>
      <w:sdtEndPr/>
      <w:sdtContent>
        <w:r w:rsidR="00F87886">
          <w:rPr>
            <w:lang w:val="es-ES"/>
          </w:rPr>
          <w:t>[Escriba texto]</w:t>
        </w:r>
      </w:sdtContent>
    </w:sdt>
  </w:p>
  <w:p w14:paraId="2D0BC499" w14:textId="77777777" w:rsidR="00F87886" w:rsidRDefault="00F878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B3F2" w14:textId="7708CB18" w:rsidR="0064168D" w:rsidRDefault="0064168D">
    <w:pPr>
      <w:pStyle w:val="Header"/>
    </w:pPr>
    <w:r>
      <w:rPr>
        <w:noProof/>
        <w:lang w:val="en-US" w:eastAsia="en-US"/>
      </w:rPr>
      <w:drawing>
        <wp:anchor distT="0" distB="0" distL="114300" distR="114300" simplePos="0" relativeHeight="251661312" behindDoc="1" locked="0" layoutInCell="1" allowOverlap="1" wp14:anchorId="276461AA" wp14:editId="2663A73D">
          <wp:simplePos x="0" y="0"/>
          <wp:positionH relativeFrom="margin">
            <wp:posOffset>-1087120</wp:posOffset>
          </wp:positionH>
          <wp:positionV relativeFrom="paragraph">
            <wp:posOffset>-455820</wp:posOffset>
          </wp:positionV>
          <wp:extent cx="7786370" cy="14290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142902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413B1"/>
    <w:multiLevelType w:val="hybridMultilevel"/>
    <w:tmpl w:val="1F9E4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E24E5"/>
    <w:multiLevelType w:val="hybridMultilevel"/>
    <w:tmpl w:val="82706C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B1F8A"/>
    <w:multiLevelType w:val="hybridMultilevel"/>
    <w:tmpl w:val="77A0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3A402A"/>
    <w:multiLevelType w:val="hybridMultilevel"/>
    <w:tmpl w:val="DB82B81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51739"/>
    <w:multiLevelType w:val="hybridMultilevel"/>
    <w:tmpl w:val="558061A4"/>
    <w:lvl w:ilvl="0" w:tplc="26004112">
      <w:start w:val="1"/>
      <w:numFmt w:val="upperRoman"/>
      <w:pStyle w:val="Heading1"/>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37455"/>
    <w:multiLevelType w:val="hybridMultilevel"/>
    <w:tmpl w:val="E0ACAC4C"/>
    <w:lvl w:ilvl="0" w:tplc="6016A144">
      <w:start w:val="1"/>
      <w:numFmt w:val="upperLetter"/>
      <w:pStyle w:val="Heading2"/>
      <w:lvlText w:val="%1."/>
      <w:lvlJc w:val="left"/>
      <w:pPr>
        <w:ind w:left="1080" w:hanging="360"/>
      </w:pPr>
      <w:rPr>
        <w:rFonts w:hint="default"/>
      </w:rPr>
    </w:lvl>
    <w:lvl w:ilvl="1" w:tplc="654CA076">
      <w:start w:val="1"/>
      <w:numFmt w:val="decimal"/>
      <w:pStyle w:val="Heading3"/>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86"/>
    <w:rsid w:val="002208C2"/>
    <w:rsid w:val="003620A1"/>
    <w:rsid w:val="00432F7E"/>
    <w:rsid w:val="0064168D"/>
    <w:rsid w:val="00766AE0"/>
    <w:rsid w:val="008343A6"/>
    <w:rsid w:val="00A72503"/>
    <w:rsid w:val="00B51445"/>
    <w:rsid w:val="00BB0242"/>
    <w:rsid w:val="00CD7B19"/>
    <w:rsid w:val="00D24B59"/>
    <w:rsid w:val="00DC180B"/>
    <w:rsid w:val="00DC6FF2"/>
    <w:rsid w:val="00EC2378"/>
    <w:rsid w:val="00F10765"/>
    <w:rsid w:val="00F87886"/>
    <w:rsid w:val="00FE05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E54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765"/>
    <w:pPr>
      <w:keepNext/>
      <w:keepLines/>
      <w:numPr>
        <w:numId w:val="5"/>
      </w:numPr>
      <w:spacing w:before="480"/>
      <w:ind w:left="180"/>
      <w:outlineLvl w:val="0"/>
    </w:pPr>
    <w:rPr>
      <w:rFonts w:eastAsiaTheme="majorEastAsia" w:cstheme="majorBidi"/>
      <w:b/>
      <w:bCs/>
      <w:lang w:val="es-ES" w:eastAsia="en-US"/>
    </w:rPr>
  </w:style>
  <w:style w:type="paragraph" w:styleId="Heading2">
    <w:name w:val="heading 2"/>
    <w:basedOn w:val="ListParagraph"/>
    <w:next w:val="Normal"/>
    <w:link w:val="Heading2Char"/>
    <w:uiPriority w:val="9"/>
    <w:unhideWhenUsed/>
    <w:qFormat/>
    <w:rsid w:val="00F10765"/>
    <w:pPr>
      <w:numPr>
        <w:numId w:val="4"/>
      </w:numPr>
      <w:jc w:val="both"/>
      <w:outlineLvl w:val="1"/>
    </w:pPr>
    <w:rPr>
      <w:rFonts w:eastAsiaTheme="minorEastAsia" w:cs="Tahoma"/>
      <w:b/>
      <w:lang w:val="es-ES"/>
    </w:rPr>
  </w:style>
  <w:style w:type="paragraph" w:styleId="Heading3">
    <w:name w:val="heading 3"/>
    <w:basedOn w:val="Heading2"/>
    <w:next w:val="Normal"/>
    <w:link w:val="Heading3Char"/>
    <w:uiPriority w:val="9"/>
    <w:unhideWhenUsed/>
    <w:qFormat/>
    <w:rsid w:val="00F10765"/>
    <w:pPr>
      <w:numPr>
        <w:ilvl w:val="1"/>
      </w:num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886"/>
    <w:pPr>
      <w:tabs>
        <w:tab w:val="center" w:pos="4252"/>
        <w:tab w:val="right" w:pos="8504"/>
      </w:tabs>
    </w:pPr>
  </w:style>
  <w:style w:type="character" w:customStyle="1" w:styleId="HeaderChar">
    <w:name w:val="Header Char"/>
    <w:basedOn w:val="DefaultParagraphFont"/>
    <w:link w:val="Header"/>
    <w:uiPriority w:val="99"/>
    <w:rsid w:val="00F87886"/>
  </w:style>
  <w:style w:type="paragraph" w:styleId="Footer">
    <w:name w:val="footer"/>
    <w:basedOn w:val="Normal"/>
    <w:link w:val="FooterChar"/>
    <w:uiPriority w:val="99"/>
    <w:unhideWhenUsed/>
    <w:rsid w:val="00F87886"/>
    <w:pPr>
      <w:tabs>
        <w:tab w:val="center" w:pos="4252"/>
        <w:tab w:val="right" w:pos="8504"/>
      </w:tabs>
    </w:pPr>
  </w:style>
  <w:style w:type="character" w:customStyle="1" w:styleId="FooterChar">
    <w:name w:val="Footer Char"/>
    <w:basedOn w:val="DefaultParagraphFont"/>
    <w:link w:val="Footer"/>
    <w:uiPriority w:val="99"/>
    <w:rsid w:val="00F87886"/>
  </w:style>
  <w:style w:type="paragraph" w:styleId="BalloonText">
    <w:name w:val="Balloon Text"/>
    <w:basedOn w:val="Normal"/>
    <w:link w:val="BalloonTextChar"/>
    <w:uiPriority w:val="99"/>
    <w:semiHidden/>
    <w:unhideWhenUsed/>
    <w:rsid w:val="00F878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87886"/>
    <w:rPr>
      <w:rFonts w:ascii="Lucida Grande" w:hAnsi="Lucida Grande"/>
      <w:sz w:val="18"/>
      <w:szCs w:val="18"/>
    </w:rPr>
  </w:style>
  <w:style w:type="paragraph" w:styleId="ListParagraph">
    <w:name w:val="List Paragraph"/>
    <w:basedOn w:val="Normal"/>
    <w:uiPriority w:val="34"/>
    <w:qFormat/>
    <w:rsid w:val="00EC2378"/>
    <w:pPr>
      <w:ind w:left="720"/>
      <w:contextualSpacing/>
    </w:pPr>
    <w:rPr>
      <w:rFonts w:eastAsiaTheme="minorHAnsi"/>
      <w:lang w:val="en-US" w:eastAsia="en-US"/>
    </w:rPr>
  </w:style>
  <w:style w:type="character" w:styleId="PageNumber">
    <w:name w:val="page number"/>
    <w:basedOn w:val="DefaultParagraphFont"/>
    <w:uiPriority w:val="99"/>
    <w:semiHidden/>
    <w:unhideWhenUsed/>
    <w:rsid w:val="00EC2378"/>
  </w:style>
  <w:style w:type="character" w:customStyle="1" w:styleId="Heading1Char">
    <w:name w:val="Heading 1 Char"/>
    <w:basedOn w:val="DefaultParagraphFont"/>
    <w:link w:val="Heading1"/>
    <w:uiPriority w:val="9"/>
    <w:rsid w:val="00F10765"/>
    <w:rPr>
      <w:rFonts w:eastAsiaTheme="majorEastAsia" w:cstheme="majorBidi"/>
      <w:b/>
      <w:bCs/>
      <w:lang w:val="es-ES" w:eastAsia="en-US"/>
    </w:rPr>
  </w:style>
  <w:style w:type="character" w:customStyle="1" w:styleId="Heading2Char">
    <w:name w:val="Heading 2 Char"/>
    <w:basedOn w:val="DefaultParagraphFont"/>
    <w:link w:val="Heading2"/>
    <w:uiPriority w:val="9"/>
    <w:rsid w:val="00F10765"/>
    <w:rPr>
      <w:rFonts w:cs="Tahoma"/>
      <w:b/>
      <w:lang w:val="es-ES" w:eastAsia="en-US"/>
    </w:rPr>
  </w:style>
  <w:style w:type="character" w:customStyle="1" w:styleId="Heading3Char">
    <w:name w:val="Heading 3 Char"/>
    <w:basedOn w:val="DefaultParagraphFont"/>
    <w:link w:val="Heading3"/>
    <w:uiPriority w:val="9"/>
    <w:rsid w:val="00F10765"/>
    <w:rPr>
      <w:rFonts w:cs="Tahoma"/>
      <w:lang w:val="es-ES" w:eastAsia="en-US"/>
    </w:rPr>
  </w:style>
  <w:style w:type="character" w:styleId="Hyperlink">
    <w:name w:val="Hyperlink"/>
    <w:basedOn w:val="DefaultParagraphFont"/>
    <w:uiPriority w:val="99"/>
    <w:unhideWhenUsed/>
    <w:rsid w:val="00F10765"/>
    <w:rPr>
      <w:color w:val="0000FF" w:themeColor="hyperlink"/>
      <w:u w:val="single"/>
    </w:rPr>
  </w:style>
  <w:style w:type="paragraph" w:styleId="FootnoteText">
    <w:name w:val="footnote text"/>
    <w:basedOn w:val="Normal"/>
    <w:link w:val="FootnoteTextChar"/>
    <w:uiPriority w:val="99"/>
    <w:unhideWhenUsed/>
    <w:rsid w:val="00F10765"/>
    <w:rPr>
      <w:rFonts w:eastAsiaTheme="minorHAnsi"/>
      <w:lang w:val="es-PR" w:eastAsia="en-US"/>
    </w:rPr>
  </w:style>
  <w:style w:type="character" w:customStyle="1" w:styleId="FootnoteTextChar">
    <w:name w:val="Footnote Text Char"/>
    <w:basedOn w:val="DefaultParagraphFont"/>
    <w:link w:val="FootnoteText"/>
    <w:uiPriority w:val="99"/>
    <w:rsid w:val="00F10765"/>
    <w:rPr>
      <w:rFonts w:eastAsiaTheme="minorHAnsi"/>
      <w:lang w:val="es-PR" w:eastAsia="en-US"/>
    </w:rPr>
  </w:style>
  <w:style w:type="character" w:styleId="FootnoteReference">
    <w:name w:val="footnote reference"/>
    <w:basedOn w:val="DefaultParagraphFont"/>
    <w:uiPriority w:val="99"/>
    <w:unhideWhenUsed/>
    <w:rsid w:val="00F10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yperlink" Target="http://www.energia.pr.gov" TargetMode="Externa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ustomXml" Target="../customXml/item4.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4917549ACAED46827D8270679D7836"/>
        <w:category>
          <w:name w:val="General"/>
          <w:gallery w:val="placeholder"/>
        </w:category>
        <w:types>
          <w:type w:val="bbPlcHdr"/>
        </w:types>
        <w:behaviors>
          <w:behavior w:val="content"/>
        </w:behaviors>
        <w:guid w:val="{59D4508E-6A7C-8F45-BCCB-1BCA53D3432A}"/>
      </w:docPartPr>
      <w:docPartBody>
        <w:p w:rsidR="00511985" w:rsidRDefault="004A7DE2" w:rsidP="004A7DE2">
          <w:pPr>
            <w:pStyle w:val="AD4917549ACAED46827D8270679D7836"/>
          </w:pPr>
          <w:r>
            <w:rPr>
              <w:lang w:val="es-ES"/>
            </w:rPr>
            <w:t>[Escriba texto]</w:t>
          </w:r>
        </w:p>
      </w:docPartBody>
    </w:docPart>
    <w:docPart>
      <w:docPartPr>
        <w:name w:val="AC47C1ABFC9F7A45A32754B899FDA036"/>
        <w:category>
          <w:name w:val="General"/>
          <w:gallery w:val="placeholder"/>
        </w:category>
        <w:types>
          <w:type w:val="bbPlcHdr"/>
        </w:types>
        <w:behaviors>
          <w:behavior w:val="content"/>
        </w:behaviors>
        <w:guid w:val="{CBE46194-B455-2343-B02E-7F45632F19CD}"/>
      </w:docPartPr>
      <w:docPartBody>
        <w:p w:rsidR="00511985" w:rsidRDefault="004A7DE2" w:rsidP="004A7DE2">
          <w:pPr>
            <w:pStyle w:val="AC47C1ABFC9F7A45A32754B899FDA036"/>
          </w:pPr>
          <w:r>
            <w:rPr>
              <w:lang w:val="es-ES"/>
            </w:rPr>
            <w:t>[Escriba texto]</w:t>
          </w:r>
        </w:p>
      </w:docPartBody>
    </w:docPart>
    <w:docPart>
      <w:docPartPr>
        <w:name w:val="53570890E11EE349B1AC958C76563D90"/>
        <w:category>
          <w:name w:val="General"/>
          <w:gallery w:val="placeholder"/>
        </w:category>
        <w:types>
          <w:type w:val="bbPlcHdr"/>
        </w:types>
        <w:behaviors>
          <w:behavior w:val="content"/>
        </w:behaviors>
        <w:guid w:val="{790C8B81-CE15-3246-908A-7D3B4252BA45}"/>
      </w:docPartPr>
      <w:docPartBody>
        <w:p w:rsidR="00511985" w:rsidRDefault="004A7DE2" w:rsidP="004A7DE2">
          <w:pPr>
            <w:pStyle w:val="53570890E11EE349B1AC958C76563D9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E2"/>
    <w:rsid w:val="004A7DE2"/>
    <w:rsid w:val="004B2318"/>
    <w:rsid w:val="004B7289"/>
    <w:rsid w:val="00511985"/>
    <w:rsid w:val="00A62841"/>
    <w:rsid w:val="00BB51E5"/>
    <w:rsid w:val="00DA76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4917549ACAED46827D8270679D7836">
    <w:name w:val="AD4917549ACAED46827D8270679D7836"/>
    <w:rsid w:val="004A7DE2"/>
  </w:style>
  <w:style w:type="paragraph" w:customStyle="1" w:styleId="AC47C1ABFC9F7A45A32754B899FDA036">
    <w:name w:val="AC47C1ABFC9F7A45A32754B899FDA036"/>
    <w:rsid w:val="004A7DE2"/>
  </w:style>
  <w:style w:type="paragraph" w:customStyle="1" w:styleId="53570890E11EE349B1AC958C76563D90">
    <w:name w:val="53570890E11EE349B1AC958C76563D90"/>
    <w:rsid w:val="004A7DE2"/>
  </w:style>
  <w:style w:type="paragraph" w:customStyle="1" w:styleId="67E7715AE6DA014A9D7C032EB6505589">
    <w:name w:val="67E7715AE6DA014A9D7C032EB6505589"/>
    <w:rsid w:val="004A7DE2"/>
  </w:style>
  <w:style w:type="paragraph" w:customStyle="1" w:styleId="75DB8D35A2CB3749A1FBD56019CF4C03">
    <w:name w:val="75DB8D35A2CB3749A1FBD56019CF4C03"/>
    <w:rsid w:val="004A7DE2"/>
  </w:style>
  <w:style w:type="paragraph" w:customStyle="1" w:styleId="3461B687A938D042B3DD4DF42999BCC4">
    <w:name w:val="3461B687A938D042B3DD4DF42999BCC4"/>
    <w:rsid w:val="004A7DE2"/>
  </w:style>
  <w:style w:type="paragraph" w:customStyle="1" w:styleId="957C20E2389C76479B5919DEA3E3D53D">
    <w:name w:val="957C20E2389C76479B5919DEA3E3D53D"/>
    <w:rsid w:val="004A7DE2"/>
  </w:style>
  <w:style w:type="paragraph" w:customStyle="1" w:styleId="0A6F8F0158EF61489644E6B65FDC60E6">
    <w:name w:val="0A6F8F0158EF61489644E6B65FDC60E6"/>
    <w:rsid w:val="004A7DE2"/>
  </w:style>
  <w:style w:type="paragraph" w:customStyle="1" w:styleId="12903B060B5E3949B1D997BBF82FC33F">
    <w:name w:val="12903B060B5E3949B1D997BBF82FC33F"/>
    <w:rsid w:val="004A7DE2"/>
  </w:style>
  <w:style w:type="paragraph" w:customStyle="1" w:styleId="96248D4BCE58CF47818B5893C6358421">
    <w:name w:val="96248D4BCE58CF47818B5893C6358421"/>
    <w:rsid w:val="004A7DE2"/>
  </w:style>
  <w:style w:type="paragraph" w:customStyle="1" w:styleId="A8EDC96799D3FC448571C8E15DB32EC0">
    <w:name w:val="A8EDC96799D3FC448571C8E15DB32EC0"/>
    <w:rsid w:val="004A7DE2"/>
  </w:style>
  <w:style w:type="paragraph" w:customStyle="1" w:styleId="8E32A39F76635B4A94FB28DB811E416A">
    <w:name w:val="8E32A39F76635B4A94FB28DB811E416A"/>
    <w:rsid w:val="004A7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ED532FB724EF74CBC77B1CCAEE6E112" ma:contentTypeVersion="0" ma:contentTypeDescription="Create a new document." ma:contentTypeScope="" ma:versionID="400e4c5f66f3d2cb5a58c445957f5d09">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D157C-767B-474E-B166-36A18F9AF3B4}"/>
</file>

<file path=customXml/itemProps2.xml><?xml version="1.0" encoding="utf-8"?>
<ds:datastoreItem xmlns:ds="http://schemas.openxmlformats.org/officeDocument/2006/customXml" ds:itemID="{EC60C1B0-4415-4563-8275-59C43B9BC73A}"/>
</file>

<file path=customXml/itemProps3.xml><?xml version="1.0" encoding="utf-8"?>
<ds:datastoreItem xmlns:ds="http://schemas.openxmlformats.org/officeDocument/2006/customXml" ds:itemID="{3A2EA530-1051-7948-9422-21E04D316B99}"/>
</file>

<file path=customXml/itemProps4.xml><?xml version="1.0" encoding="utf-8"?>
<ds:datastoreItem xmlns:ds="http://schemas.openxmlformats.org/officeDocument/2006/customXml" ds:itemID="{8B71AB26-CFE1-45BC-8EF8-B6813571235F}"/>
</file>

<file path=docProps/app.xml><?xml version="1.0" encoding="utf-8"?>
<Properties xmlns="http://schemas.openxmlformats.org/officeDocument/2006/extended-properties" xmlns:vt="http://schemas.openxmlformats.org/officeDocument/2006/docPropsVTypes">
  <Template>Normal.dotm</Template>
  <TotalTime>1</TotalTime>
  <Pages>5</Pages>
  <Words>1573</Words>
  <Characters>8972</Characters>
  <Application>Microsoft Macintosh Word</Application>
  <DocSecurity>0</DocSecurity>
  <Lines>74</Lines>
  <Paragraphs>21</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INTRODUCCIÓN</vt:lpstr>
      <vt:lpstr>LOGROS DE LA COMISIÓN DESDE SU CREACIÓN </vt:lpstr>
      <vt:lpstr>    Asuntos Administrativos</vt:lpstr>
      <vt:lpstr>        Oficina de Gerencia y Presupuesto (OGP)</vt:lpstr>
      <vt:lpstr>        Finanzas y Presupuesto</vt:lpstr>
      <vt:lpstr>        El Presupuesto de la CEPR se nutre de la aportación anual ordenada por Ley a la </vt:lpstr>
      <vt:lpstr>        El presupuesto de la CEPR correspondiente al Año Fiscal 2016-2017 es de seis mil</vt:lpstr>
      <vt:lpstr>        Recursos Humanos</vt:lpstr>
      <vt:lpstr>        Ubicación de la CEPR</vt:lpstr>
      <vt:lpstr>        Creación de la Administración de Energía de Puerto Rico (“AEPR”)</vt:lpstr>
      <vt:lpstr>    Aprobación de Reglamentos</vt:lpstr>
      <vt:lpstr>        El 18 de diciembre de 2014 se aprobó el Reglamento 8542 conocido como el Reglame</vt:lpstr>
      <vt:lpstr>        El 18 de diciembre de 2014 se aprobó el Reglamento 8543 conocido como el Reglame</vt:lpstr>
      <vt:lpstr>        El 5 de febrero de 2015 se aprobó el Reglamento 8558 conocido como el Reglamento</vt:lpstr>
      <vt:lpstr>        El 22 de mayo de 2015, la Comisión adoptó el Reglamento Núm. 8594, conocido como</vt:lpstr>
      <vt:lpstr>        </vt:lpstr>
      <vt:lpstr>        El 10 de julio de 2015, la Comisión promulgó el Reglamento Núm. 8618, conocido c</vt:lpstr>
      <vt:lpstr>        </vt:lpstr>
      <vt:lpstr>        El 24 de julio de 2015, la Comisión aprobó el Reglamento Núm. 8620, conocido com</vt:lpstr>
      <vt:lpstr>        </vt:lpstr>
      <vt:lpstr>        El 16 de octubre de 2015 la Comisión aprobó el Reglamento Núm. 8653, Reglamento </vt:lpstr>
      <vt:lpstr>        El Reglamento 8815 conocido como Joint Regulation for the Procurement, Evaluatio</vt:lpstr>
      <vt:lpstr>    Temas de gran relevancia ante la Comisión</vt:lpstr>
      <vt:lpstr>        Definición para el concepto de “generación fósil altamente eficiente”. </vt:lpstr>
      <vt:lpstr>        Proceso de evaluación y aprobación del Plan Integrado de Recursos de la AEE. </vt:lpstr>
      <vt:lpstr>        Evaluación de la Petición del Cargo de Transición y aprobación de la Orden de Re</vt:lpstr>
      <vt:lpstr>        Proceso de evaluación de la Petición de Revisión de Tarifas de la AEE. </vt:lpstr>
      <vt:lpstr>    Transparencia y Rendición de Cuentas</vt:lpstr>
      <vt:lpstr>        Según requiere el Art. 6.3, incisos (dd) y (ee), de la Ley 57-2014, según enmend</vt:lpstr>
      <vt:lpstr>        Como parte de los esfuerzos educativos de la CEPR, en dicho portal se transmiten</vt:lpstr>
    </vt:vector>
  </TitlesOfParts>
  <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cp:revision>
  <dcterms:created xsi:type="dcterms:W3CDTF">2016-10-28T16:08:00Z</dcterms:created>
  <dcterms:modified xsi:type="dcterms:W3CDTF">2016-10-28T16:08:00Z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0x0101001ED532FB724EF74CBC77B1CCAEE6E112</vt:lpwstr>
  </property>
</Properties>
</file>